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446" w:rsidRPr="00032A00" w:rsidRDefault="00314446" w:rsidP="00314446">
      <w:pPr>
        <w:pStyle w:val="Dokumentname"/>
        <w:rPr>
          <w:lang w:val="pt-BR"/>
        </w:rPr>
      </w:pPr>
      <w:bookmarkStart w:id="0" w:name="_GoBack"/>
      <w:bookmarkEnd w:id="0"/>
      <w:r w:rsidRPr="00032A00">
        <w:rPr>
          <w:lang w:val="pt-BR"/>
        </w:rPr>
        <w:t>Planejamento avançado da qualidade</w:t>
      </w:r>
    </w:p>
    <w:p w:rsidR="00314446" w:rsidRPr="00032A00" w:rsidRDefault="00314446" w:rsidP="00314446">
      <w:pPr>
        <w:tabs>
          <w:tab w:val="left" w:pos="709"/>
          <w:tab w:val="right" w:leader="dot" w:pos="9639"/>
        </w:tabs>
        <w:rPr>
          <w:rStyle w:val="StandardBlockZchn"/>
          <w:color w:val="008000"/>
          <w:lang w:val="pt-BR"/>
        </w:rPr>
      </w:pPr>
    </w:p>
    <w:p w:rsidR="00314446" w:rsidRPr="00032A00" w:rsidRDefault="00314446" w:rsidP="00314446">
      <w:pPr>
        <w:tabs>
          <w:tab w:val="left" w:pos="709"/>
          <w:tab w:val="right" w:leader="dot" w:pos="9639"/>
        </w:tabs>
        <w:rPr>
          <w:rStyle w:val="StandardBlockZchn"/>
          <w:color w:val="008000"/>
          <w:sz w:val="20"/>
          <w:lang w:val="pt-BR"/>
        </w:rPr>
      </w:pPr>
      <w:r w:rsidRPr="00032A00">
        <w:rPr>
          <w:rStyle w:val="StandardBlockZchn"/>
          <w:color w:val="008000"/>
          <w:sz w:val="20"/>
          <w:lang w:val="pt-BR"/>
        </w:rPr>
        <w:t xml:space="preserve">Nota: </w:t>
      </w:r>
    </w:p>
    <w:p w:rsidR="00314446" w:rsidRPr="00032A00" w:rsidRDefault="00314446" w:rsidP="00314446">
      <w:pPr>
        <w:tabs>
          <w:tab w:val="left" w:pos="709"/>
          <w:tab w:val="right" w:leader="dot" w:pos="9639"/>
        </w:tabs>
        <w:jc w:val="both"/>
        <w:rPr>
          <w:rStyle w:val="StandardBlockZchn"/>
          <w:color w:val="008000"/>
          <w:sz w:val="20"/>
          <w:lang w:val="pt-BR"/>
        </w:rPr>
      </w:pPr>
      <w:r w:rsidRPr="00032A00">
        <w:rPr>
          <w:rStyle w:val="StandardBlockZchn"/>
          <w:color w:val="008000"/>
          <w:sz w:val="20"/>
          <w:lang w:val="pt-BR"/>
        </w:rPr>
        <w:t>As modificações mais importantes em relação à edição anterior de janeiro de 2013 são descritas em verde.</w:t>
      </w:r>
    </w:p>
    <w:p w:rsidR="00314446" w:rsidRPr="00032A00" w:rsidRDefault="00314446" w:rsidP="00314446">
      <w:pPr>
        <w:pStyle w:val="Ttulo1"/>
        <w:rPr>
          <w:lang w:val="pt-BR"/>
        </w:rPr>
      </w:pPr>
      <w:r w:rsidRPr="00032A00">
        <w:rPr>
          <w:lang w:val="pt-BR"/>
        </w:rPr>
        <w:t>Objetivo</w:t>
      </w:r>
    </w:p>
    <w:p w:rsidR="00314446" w:rsidRPr="00032A00" w:rsidRDefault="00314446" w:rsidP="00314446">
      <w:pPr>
        <w:jc w:val="both"/>
        <w:rPr>
          <w:sz w:val="22"/>
          <w:lang w:val="pt-BR"/>
        </w:rPr>
      </w:pPr>
      <w:r w:rsidRPr="00032A00">
        <w:rPr>
          <w:sz w:val="22"/>
          <w:lang w:val="pt-BR"/>
        </w:rPr>
        <w:t>Para desenvolver e produzir um novo produto, que atenda aos requisitos de qualidade, é necessário um planejamento avançado da qualidade sistemático. O Planejamento Avançado da Qualidade</w:t>
      </w:r>
      <w:r w:rsidRPr="00032A00">
        <w:rPr>
          <w:i/>
          <w:sz w:val="22"/>
          <w:lang w:val="pt-BR"/>
        </w:rPr>
        <w:t xml:space="preserve"> </w:t>
      </w:r>
      <w:r w:rsidRPr="00032A00">
        <w:rPr>
          <w:sz w:val="22"/>
          <w:lang w:val="pt-BR"/>
        </w:rPr>
        <w:t>(</w:t>
      </w:r>
      <w:r w:rsidRPr="00032A00">
        <w:rPr>
          <w:i/>
          <w:sz w:val="22"/>
          <w:lang w:val="pt-BR"/>
        </w:rPr>
        <w:t>APQP Advanced Product Quality Planning</w:t>
      </w:r>
      <w:r w:rsidRPr="00032A00">
        <w:rPr>
          <w:sz w:val="22"/>
          <w:lang w:val="pt-BR"/>
        </w:rPr>
        <w:t xml:space="preserve">) acompanha o desenvolvimento do produto </w:t>
      </w:r>
      <w:r w:rsidRPr="00032A00">
        <w:rPr>
          <w:color w:val="008000"/>
          <w:sz w:val="22"/>
          <w:lang w:val="pt-BR"/>
        </w:rPr>
        <w:t xml:space="preserve">no processo de desenvolvimento do produto do cliente (ver </w:t>
      </w:r>
      <w:r w:rsidRPr="00032A00">
        <w:rPr>
          <w:i/>
          <w:color w:val="008000"/>
          <w:sz w:val="22"/>
          <w:lang w:val="pt-BR"/>
        </w:rPr>
        <w:t>Anexo 1</w:t>
      </w:r>
      <w:r w:rsidRPr="00032A00">
        <w:rPr>
          <w:color w:val="008000"/>
          <w:sz w:val="22"/>
          <w:lang w:val="pt-BR"/>
        </w:rPr>
        <w:t>)</w:t>
      </w:r>
      <w:r w:rsidRPr="00032A00">
        <w:rPr>
          <w:sz w:val="22"/>
          <w:lang w:val="pt-BR"/>
        </w:rPr>
        <w:t xml:space="preserve"> e deve assegurar que os requisitos do cliente s</w:t>
      </w:r>
      <w:r w:rsidR="005B2004">
        <w:rPr>
          <w:sz w:val="22"/>
          <w:lang w:val="pt-BR"/>
        </w:rPr>
        <w:t xml:space="preserve">ejam atendidos dentro do prazo </w:t>
      </w:r>
      <w:r w:rsidR="005B2004" w:rsidRPr="00EA044C">
        <w:rPr>
          <w:sz w:val="22"/>
          <w:lang w:val="pt-BR"/>
        </w:rPr>
        <w:t>desejável</w:t>
      </w:r>
      <w:r w:rsidRPr="005B2004">
        <w:rPr>
          <w:color w:val="FF0000"/>
          <w:sz w:val="22"/>
          <w:lang w:val="pt-BR"/>
        </w:rPr>
        <w:t>.</w:t>
      </w:r>
      <w:r w:rsidRPr="00032A00">
        <w:rPr>
          <w:sz w:val="22"/>
          <w:lang w:val="pt-BR"/>
        </w:rPr>
        <w:t xml:space="preserve"> </w:t>
      </w:r>
    </w:p>
    <w:p w:rsidR="00314446" w:rsidRPr="00032A00" w:rsidRDefault="00314446" w:rsidP="00314446">
      <w:pPr>
        <w:pStyle w:val="Ttulo1"/>
        <w:rPr>
          <w:lang w:val="pt-BR"/>
        </w:rPr>
      </w:pPr>
      <w:r w:rsidRPr="00032A00">
        <w:rPr>
          <w:lang w:val="pt-BR"/>
        </w:rPr>
        <w:t>Responsabilidade</w:t>
      </w:r>
    </w:p>
    <w:p w:rsidR="00314446" w:rsidRPr="00032A00" w:rsidRDefault="00314446" w:rsidP="00314446">
      <w:pPr>
        <w:jc w:val="both"/>
        <w:rPr>
          <w:sz w:val="22"/>
          <w:lang w:val="pt-BR"/>
        </w:rPr>
      </w:pPr>
      <w:r w:rsidRPr="00032A00">
        <w:rPr>
          <w:sz w:val="22"/>
          <w:lang w:val="pt-BR"/>
        </w:rPr>
        <w:t>O fornecedor é totalmente responsável pelo planejamento, execução e documentação de todas as atividades do Planejamento Avançado da Qualidade do Produto. Ele define os responsáveis e os prazos relativos às atividades individuais em sua organização. Pelo lado do cliente, os departamentos técnicos, de acordo com seu escopo de tarefas ou encarregados designados para o projeto, são responsáveis pela cooperação com o fornecedor.</w:t>
      </w:r>
    </w:p>
    <w:p w:rsidR="00314446" w:rsidRPr="00032A00" w:rsidRDefault="00314446" w:rsidP="00314446">
      <w:pPr>
        <w:spacing w:before="80"/>
        <w:jc w:val="both"/>
        <w:rPr>
          <w:sz w:val="22"/>
          <w:lang w:val="pt-BR"/>
        </w:rPr>
      </w:pPr>
      <w:r w:rsidRPr="00032A00">
        <w:rPr>
          <w:sz w:val="22"/>
          <w:lang w:val="pt-BR"/>
        </w:rPr>
        <w:t>Para a execução das atividades de desenvolvimento, devem estar definidos os objetivos do projeto e os canais de comunicação entre os responsáveis (cliente, fornecedor e subfornecedores). Para a verificação contínua do progresso do projeto e o cumprimento dos prazos estabelecidos pelo cliente, o próprio fornecedor deve definir marcadores de tempo, nos quais as atividades estipuladas devem estar concluídas.</w:t>
      </w:r>
    </w:p>
    <w:p w:rsidR="00314446" w:rsidRPr="00032A00" w:rsidRDefault="00314446" w:rsidP="00314446">
      <w:pPr>
        <w:pStyle w:val="Ttulo1"/>
        <w:rPr>
          <w:lang w:val="pt-BR"/>
        </w:rPr>
      </w:pPr>
      <w:r w:rsidRPr="00032A00">
        <w:rPr>
          <w:lang w:val="pt-BR"/>
        </w:rPr>
        <w:t xml:space="preserve">Classificação de </w:t>
      </w:r>
      <w:r w:rsidRPr="00032A00">
        <w:rPr>
          <w:color w:val="008000"/>
          <w:lang w:val="pt-BR"/>
        </w:rPr>
        <w:t>risco</w:t>
      </w:r>
      <w:r w:rsidRPr="00032A00">
        <w:rPr>
          <w:lang w:val="pt-BR"/>
        </w:rPr>
        <w:t xml:space="preserve"> e requisitos</w:t>
      </w:r>
    </w:p>
    <w:p w:rsidR="00314446" w:rsidRPr="00032A00" w:rsidRDefault="00314446" w:rsidP="00314446">
      <w:pPr>
        <w:jc w:val="both"/>
        <w:rPr>
          <w:sz w:val="22"/>
          <w:lang w:val="pt-BR"/>
        </w:rPr>
      </w:pPr>
      <w:r w:rsidRPr="00032A00">
        <w:rPr>
          <w:sz w:val="22"/>
          <w:lang w:val="pt-BR"/>
        </w:rPr>
        <w:t xml:space="preserve">Os requisitos do planejamento avançado da qualidade são divididos pelo cliente em três diferentes classificações de </w:t>
      </w:r>
      <w:r w:rsidRPr="00032A00">
        <w:rPr>
          <w:color w:val="008000"/>
          <w:sz w:val="22"/>
          <w:lang w:val="pt-BR"/>
        </w:rPr>
        <w:t>risco</w:t>
      </w:r>
      <w:r w:rsidRPr="00032A00">
        <w:rPr>
          <w:sz w:val="22"/>
          <w:lang w:val="pt-BR"/>
        </w:rPr>
        <w:t xml:space="preserve"> (</w:t>
      </w:r>
      <w:r w:rsidRPr="00032A00">
        <w:rPr>
          <w:color w:val="008000"/>
          <w:sz w:val="22"/>
          <w:lang w:val="pt-BR"/>
        </w:rPr>
        <w:t>RL</w:t>
      </w:r>
      <w:r w:rsidRPr="00032A00">
        <w:rPr>
          <w:sz w:val="22"/>
          <w:lang w:val="pt-BR"/>
        </w:rPr>
        <w:t>):</w:t>
      </w:r>
    </w:p>
    <w:p w:rsidR="00314446" w:rsidRPr="00032A00" w:rsidRDefault="00E24E97" w:rsidP="00314446">
      <w:pPr>
        <w:framePr w:w="10319" w:h="5172" w:hSpace="142" w:wrap="around" w:vAnchor="text" w:hAnchor="page" w:x="450" w:y="1"/>
        <w:rPr>
          <w:lang w:val="pt-BR"/>
        </w:rPr>
      </w:pPr>
      <w:r>
        <w:rPr>
          <w:lang w:val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59.6pt;margin-top:105.5pt;width:2in;height:135pt;z-index:251661824">
            <v:textbox style="mso-next-textbox:#_x0000_s1036">
              <w:txbxContent>
                <w:p w:rsidR="00314446" w:rsidRDefault="00314446" w:rsidP="00314446">
                  <w:pPr>
                    <w:jc w:val="center"/>
                    <w:rPr>
                      <w:b/>
                      <w:color w:val="000000"/>
                      <w:sz w:val="22"/>
                    </w:rPr>
                  </w:pPr>
                  <w:r>
                    <w:rPr>
                      <w:b/>
                      <w:color w:val="000000"/>
                      <w:sz w:val="22"/>
                    </w:rPr>
                    <w:t>Requisito padrão</w:t>
                  </w:r>
                </w:p>
                <w:p w:rsidR="00314446" w:rsidRPr="007A62E2" w:rsidRDefault="00314446" w:rsidP="00314446">
                  <w:pPr>
                    <w:rPr>
                      <w:color w:val="000000"/>
                    </w:rPr>
                  </w:pPr>
                </w:p>
                <w:p w:rsidR="00314446" w:rsidRPr="00D10831" w:rsidRDefault="00314446" w:rsidP="00314446">
                  <w:pPr>
                    <w:numPr>
                      <w:ilvl w:val="0"/>
                      <w:numId w:val="7"/>
                    </w:numPr>
                    <w:tabs>
                      <w:tab w:val="clear" w:pos="720"/>
                      <w:tab w:val="num" w:pos="284"/>
                    </w:tabs>
                    <w:ind w:left="284" w:hanging="284"/>
                    <w:rPr>
                      <w:color w:val="000000"/>
                      <w:lang w:val="pt-BR"/>
                    </w:rPr>
                  </w:pPr>
                  <w:r w:rsidRPr="00D10831">
                    <w:rPr>
                      <w:color w:val="000000"/>
                      <w:lang w:val="pt-BR"/>
                    </w:rPr>
                    <w:t xml:space="preserve">Trabalho de projeto simplificado (p.ex. planejamento dos prazos) </w:t>
                  </w:r>
                </w:p>
                <w:p w:rsidR="00314446" w:rsidRPr="00D10831" w:rsidRDefault="00314446" w:rsidP="00314446">
                  <w:pPr>
                    <w:numPr>
                      <w:ilvl w:val="0"/>
                      <w:numId w:val="7"/>
                    </w:numPr>
                    <w:tabs>
                      <w:tab w:val="clear" w:pos="720"/>
                      <w:tab w:val="num" w:pos="284"/>
                    </w:tabs>
                    <w:ind w:left="284" w:hanging="284"/>
                    <w:rPr>
                      <w:lang w:val="pt-BR"/>
                    </w:rPr>
                  </w:pPr>
                  <w:r w:rsidRPr="00D10831">
                    <w:rPr>
                      <w:color w:val="000000"/>
                      <w:lang w:val="pt-BR"/>
                    </w:rPr>
                    <w:t>Reuniões de projeto (se necessário)</w:t>
                  </w:r>
                </w:p>
                <w:p w:rsidR="00314446" w:rsidRPr="0073056F" w:rsidRDefault="00314446" w:rsidP="00314446">
                  <w:pPr>
                    <w:numPr>
                      <w:ilvl w:val="0"/>
                      <w:numId w:val="7"/>
                    </w:numPr>
                    <w:tabs>
                      <w:tab w:val="clear" w:pos="720"/>
                      <w:tab w:val="num" w:pos="284"/>
                    </w:tabs>
                    <w:ind w:left="284" w:hanging="284"/>
                  </w:pPr>
                  <w:r>
                    <w:rPr>
                      <w:color w:val="000000"/>
                    </w:rPr>
                    <w:t>Amostragem</w:t>
                  </w:r>
                </w:p>
                <w:p w:rsidR="00314446" w:rsidRPr="00D10831" w:rsidRDefault="00314446" w:rsidP="00314446">
                  <w:pPr>
                    <w:numPr>
                      <w:ilvl w:val="0"/>
                      <w:numId w:val="7"/>
                    </w:numPr>
                    <w:tabs>
                      <w:tab w:val="clear" w:pos="720"/>
                      <w:tab w:val="num" w:pos="284"/>
                    </w:tabs>
                    <w:ind w:left="284" w:hanging="284"/>
                    <w:rPr>
                      <w:lang w:val="pt-BR"/>
                    </w:rPr>
                  </w:pPr>
                  <w:r w:rsidRPr="00D10831">
                    <w:rPr>
                      <w:color w:val="000000"/>
                      <w:lang w:val="pt-BR"/>
                    </w:rPr>
                    <w:t>Aceitação do processo no local (se necessário)</w:t>
                  </w:r>
                </w:p>
                <w:p w:rsidR="00314446" w:rsidRPr="00D10831" w:rsidRDefault="00314446" w:rsidP="00314446">
                  <w:pPr>
                    <w:rPr>
                      <w:sz w:val="18"/>
                      <w:lang w:val="pt-BR"/>
                    </w:rPr>
                  </w:pPr>
                </w:p>
              </w:txbxContent>
            </v:textbox>
          </v:shape>
        </w:pict>
      </w:r>
      <w:r>
        <w:rPr>
          <w:lang w:val="pt-BR"/>
        </w:rPr>
        <w:pict>
          <v:shape id="_x0000_s1035" type="#_x0000_t202" style="position:absolute;margin-left:197.6pt;margin-top:105.5pt;width:2in;height:135pt;z-index:251660800">
            <v:textbox style="mso-next-textbox:#_x0000_s1035">
              <w:txbxContent>
                <w:p w:rsidR="00314446" w:rsidRDefault="00314446" w:rsidP="00314446">
                  <w:pPr>
                    <w:jc w:val="center"/>
                    <w:rPr>
                      <w:b/>
                      <w:color w:val="000000"/>
                      <w:sz w:val="22"/>
                    </w:rPr>
                  </w:pPr>
                  <w:r>
                    <w:rPr>
                      <w:b/>
                      <w:color w:val="000000"/>
                      <w:sz w:val="22"/>
                    </w:rPr>
                    <w:t>Requisito médio</w:t>
                  </w:r>
                </w:p>
                <w:p w:rsidR="00314446" w:rsidRPr="007A62E2" w:rsidRDefault="00314446" w:rsidP="00314446">
                  <w:pPr>
                    <w:rPr>
                      <w:color w:val="000000"/>
                    </w:rPr>
                  </w:pPr>
                </w:p>
                <w:p w:rsidR="00314446" w:rsidRPr="00D10831" w:rsidRDefault="00314446" w:rsidP="00314446">
                  <w:pPr>
                    <w:numPr>
                      <w:ilvl w:val="0"/>
                      <w:numId w:val="6"/>
                    </w:numPr>
                    <w:tabs>
                      <w:tab w:val="clear" w:pos="360"/>
                      <w:tab w:val="num" w:pos="284"/>
                    </w:tabs>
                    <w:ind w:left="284" w:hanging="284"/>
                    <w:rPr>
                      <w:lang w:val="pt-BR"/>
                    </w:rPr>
                  </w:pPr>
                  <w:r w:rsidRPr="00D10831">
                    <w:rPr>
                      <w:color w:val="000000"/>
                      <w:lang w:val="pt-BR"/>
                    </w:rPr>
                    <w:t xml:space="preserve">Trabalho de projeto conforme o método </w:t>
                  </w:r>
                  <w:r w:rsidRPr="00D10831">
                    <w:rPr>
                      <w:i/>
                      <w:color w:val="000000"/>
                      <w:lang w:val="pt-BR"/>
                    </w:rPr>
                    <w:t>APQP</w:t>
                  </w:r>
                </w:p>
                <w:p w:rsidR="00314446" w:rsidRPr="002D6CB0" w:rsidRDefault="00314446" w:rsidP="00314446">
                  <w:pPr>
                    <w:numPr>
                      <w:ilvl w:val="0"/>
                      <w:numId w:val="6"/>
                    </w:numPr>
                    <w:tabs>
                      <w:tab w:val="clear" w:pos="360"/>
                      <w:tab w:val="num" w:pos="284"/>
                    </w:tabs>
                    <w:ind w:left="284" w:hanging="284"/>
                    <w:rPr>
                      <w:i/>
                    </w:rPr>
                  </w:pPr>
                  <w:r>
                    <w:rPr>
                      <w:i/>
                      <w:color w:val="000000"/>
                    </w:rPr>
                    <w:t>APQP Status Report</w:t>
                  </w:r>
                </w:p>
                <w:p w:rsidR="00314446" w:rsidRPr="00D10831" w:rsidRDefault="00314446" w:rsidP="00314446">
                  <w:pPr>
                    <w:numPr>
                      <w:ilvl w:val="0"/>
                      <w:numId w:val="6"/>
                    </w:numPr>
                    <w:tabs>
                      <w:tab w:val="clear" w:pos="360"/>
                      <w:tab w:val="num" w:pos="284"/>
                    </w:tabs>
                    <w:ind w:left="284" w:hanging="284"/>
                    <w:rPr>
                      <w:lang w:val="pt-BR"/>
                    </w:rPr>
                  </w:pPr>
                  <w:r w:rsidRPr="00D10831">
                    <w:rPr>
                      <w:color w:val="000000"/>
                      <w:lang w:val="pt-BR"/>
                    </w:rPr>
                    <w:t>Reuniões de projeto (se necessário)</w:t>
                  </w:r>
                </w:p>
                <w:p w:rsidR="00314446" w:rsidRPr="007A62E2" w:rsidRDefault="00314446" w:rsidP="00314446">
                  <w:pPr>
                    <w:numPr>
                      <w:ilvl w:val="0"/>
                      <w:numId w:val="6"/>
                    </w:numPr>
                    <w:tabs>
                      <w:tab w:val="clear" w:pos="360"/>
                      <w:tab w:val="num" w:pos="284"/>
                    </w:tabs>
                    <w:ind w:left="284" w:hanging="284"/>
                  </w:pPr>
                  <w:r>
                    <w:rPr>
                      <w:color w:val="000000"/>
                    </w:rPr>
                    <w:t>Amostragem</w:t>
                  </w:r>
                </w:p>
                <w:p w:rsidR="00314446" w:rsidRPr="00D10831" w:rsidRDefault="00314446" w:rsidP="00314446">
                  <w:pPr>
                    <w:numPr>
                      <w:ilvl w:val="0"/>
                      <w:numId w:val="6"/>
                    </w:numPr>
                    <w:tabs>
                      <w:tab w:val="clear" w:pos="360"/>
                      <w:tab w:val="num" w:pos="284"/>
                    </w:tabs>
                    <w:ind w:left="284" w:hanging="284"/>
                    <w:rPr>
                      <w:lang w:val="pt-BR"/>
                    </w:rPr>
                  </w:pPr>
                  <w:r w:rsidRPr="00D10831">
                    <w:rPr>
                      <w:color w:val="000000"/>
                      <w:lang w:val="pt-BR"/>
                    </w:rPr>
                    <w:t>Aceitação do processo no local (se necessário)</w:t>
                  </w:r>
                </w:p>
              </w:txbxContent>
            </v:textbox>
          </v:shape>
        </w:pict>
      </w:r>
      <w:r>
        <w:rPr>
          <w:lang w:val="pt-BR"/>
        </w:rPr>
        <w:pict>
          <v:shape id="_x0000_s1034" type="#_x0000_t202" style="position:absolute;margin-left:35.6pt;margin-top:105.5pt;width:2in;height:135pt;z-index:251659776">
            <v:textbox style="mso-next-textbox:#_x0000_s1034">
              <w:txbxContent>
                <w:p w:rsidR="00314446" w:rsidRPr="007E4FA7" w:rsidRDefault="00314446" w:rsidP="00314446">
                  <w:pPr>
                    <w:jc w:val="center"/>
                    <w:rPr>
                      <w:b/>
                      <w:noProof/>
                      <w:color w:val="000000"/>
                      <w:sz w:val="22"/>
                      <w:lang w:val="pt-BR"/>
                    </w:rPr>
                  </w:pPr>
                  <w:r w:rsidRPr="007E4FA7">
                    <w:rPr>
                      <w:b/>
                      <w:noProof/>
                      <w:color w:val="000000"/>
                      <w:sz w:val="22"/>
                      <w:lang w:val="pt-BR"/>
                    </w:rPr>
                    <w:t>Requisito máximo</w:t>
                  </w:r>
                </w:p>
                <w:p w:rsidR="00314446" w:rsidRPr="007E4FA7" w:rsidRDefault="00314446" w:rsidP="00314446">
                  <w:pPr>
                    <w:rPr>
                      <w:noProof/>
                      <w:lang w:val="pt-BR"/>
                    </w:rPr>
                  </w:pPr>
                </w:p>
                <w:p w:rsidR="00314446" w:rsidRPr="007E4FA7" w:rsidRDefault="00314446" w:rsidP="00314446">
                  <w:pPr>
                    <w:numPr>
                      <w:ilvl w:val="0"/>
                      <w:numId w:val="5"/>
                    </w:numPr>
                    <w:tabs>
                      <w:tab w:val="clear" w:pos="360"/>
                      <w:tab w:val="clear" w:pos="2552"/>
                      <w:tab w:val="num" w:pos="284"/>
                    </w:tabs>
                    <w:ind w:left="284" w:hanging="284"/>
                    <w:rPr>
                      <w:noProof/>
                      <w:lang w:val="pt-BR"/>
                    </w:rPr>
                  </w:pPr>
                  <w:r w:rsidRPr="007E4FA7">
                    <w:rPr>
                      <w:noProof/>
                      <w:color w:val="000000"/>
                      <w:lang w:val="pt-BR"/>
                    </w:rPr>
                    <w:t xml:space="preserve">Trabalho de projeto conforme o método </w:t>
                  </w:r>
                  <w:r w:rsidRPr="007E4FA7">
                    <w:rPr>
                      <w:i/>
                      <w:noProof/>
                      <w:color w:val="000000"/>
                      <w:lang w:val="pt-BR"/>
                    </w:rPr>
                    <w:t>APQP</w:t>
                  </w:r>
                </w:p>
                <w:p w:rsidR="00314446" w:rsidRPr="007E4FA7" w:rsidRDefault="00314446" w:rsidP="00314446">
                  <w:pPr>
                    <w:numPr>
                      <w:ilvl w:val="0"/>
                      <w:numId w:val="5"/>
                    </w:numPr>
                    <w:tabs>
                      <w:tab w:val="clear" w:pos="360"/>
                      <w:tab w:val="clear" w:pos="2552"/>
                      <w:tab w:val="num" w:pos="284"/>
                    </w:tabs>
                    <w:ind w:left="284" w:hanging="284"/>
                    <w:rPr>
                      <w:noProof/>
                      <w:lang w:val="pt-BR"/>
                    </w:rPr>
                  </w:pPr>
                  <w:r w:rsidRPr="007E4FA7">
                    <w:rPr>
                      <w:i/>
                      <w:noProof/>
                      <w:color w:val="000000"/>
                      <w:lang w:val="pt-BR"/>
                    </w:rPr>
                    <w:t>APQP Status Report</w:t>
                  </w:r>
                  <w:r w:rsidRPr="007E4FA7">
                    <w:rPr>
                      <w:noProof/>
                      <w:color w:val="000000"/>
                      <w:lang w:val="pt-BR"/>
                    </w:rPr>
                    <w:t xml:space="preserve"> (Número ampliado)</w:t>
                  </w:r>
                </w:p>
                <w:p w:rsidR="00314446" w:rsidRPr="007E4FA7" w:rsidRDefault="00314446" w:rsidP="00314446">
                  <w:pPr>
                    <w:numPr>
                      <w:ilvl w:val="0"/>
                      <w:numId w:val="5"/>
                    </w:numPr>
                    <w:tabs>
                      <w:tab w:val="clear" w:pos="360"/>
                      <w:tab w:val="clear" w:pos="2552"/>
                      <w:tab w:val="num" w:pos="284"/>
                    </w:tabs>
                    <w:ind w:left="284" w:hanging="284"/>
                    <w:rPr>
                      <w:noProof/>
                      <w:lang w:val="pt-BR"/>
                    </w:rPr>
                  </w:pPr>
                  <w:r w:rsidRPr="007E4FA7">
                    <w:rPr>
                      <w:noProof/>
                      <w:color w:val="000000"/>
                      <w:lang w:val="pt-BR"/>
                    </w:rPr>
                    <w:t>Reuniões de projeto</w:t>
                  </w:r>
                </w:p>
                <w:p w:rsidR="00314446" w:rsidRPr="007E4FA7" w:rsidRDefault="00314446" w:rsidP="00314446">
                  <w:pPr>
                    <w:numPr>
                      <w:ilvl w:val="0"/>
                      <w:numId w:val="5"/>
                    </w:numPr>
                    <w:tabs>
                      <w:tab w:val="clear" w:pos="360"/>
                      <w:tab w:val="clear" w:pos="2552"/>
                      <w:tab w:val="num" w:pos="284"/>
                    </w:tabs>
                    <w:ind w:left="284" w:hanging="284"/>
                    <w:rPr>
                      <w:noProof/>
                      <w:lang w:val="pt-BR"/>
                    </w:rPr>
                  </w:pPr>
                  <w:r w:rsidRPr="007E4FA7">
                    <w:rPr>
                      <w:noProof/>
                      <w:color w:val="000000"/>
                      <w:lang w:val="pt-BR"/>
                    </w:rPr>
                    <w:t>Amostragem</w:t>
                  </w:r>
                </w:p>
                <w:p w:rsidR="00314446" w:rsidRPr="007E4FA7" w:rsidRDefault="00314446" w:rsidP="00314446">
                  <w:pPr>
                    <w:numPr>
                      <w:ilvl w:val="0"/>
                      <w:numId w:val="5"/>
                    </w:numPr>
                    <w:tabs>
                      <w:tab w:val="clear" w:pos="360"/>
                      <w:tab w:val="clear" w:pos="2552"/>
                      <w:tab w:val="num" w:pos="284"/>
                    </w:tabs>
                    <w:ind w:left="284" w:hanging="284"/>
                    <w:rPr>
                      <w:noProof/>
                      <w:lang w:val="pt-BR"/>
                    </w:rPr>
                  </w:pPr>
                  <w:r w:rsidRPr="007E4FA7">
                    <w:rPr>
                      <w:noProof/>
                      <w:color w:val="000000"/>
                      <w:lang w:val="pt-BR"/>
                    </w:rPr>
                    <w:t>Aceitação do processo no local</w:t>
                  </w:r>
                </w:p>
              </w:txbxContent>
            </v:textbox>
          </v:shape>
        </w:pict>
      </w:r>
      <w:r>
        <w:rPr>
          <w:lang w:val="pt-BR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37" type="#_x0000_t80" style="position:absolute;margin-left:360.35pt;margin-top:20.05pt;width:2in;height:80.95pt;z-index:251662848" adj="17312" fillcolor="#ddd">
            <v:textbox style="mso-next-textbox:#_x0000_s1037">
              <w:txbxContent>
                <w:p w:rsidR="00314446" w:rsidRDefault="00314446" w:rsidP="00314446">
                  <w:pPr>
                    <w:jc w:val="center"/>
                    <w:rPr>
                      <w:b/>
                      <w:color w:val="000000"/>
                      <w:sz w:val="22"/>
                    </w:rPr>
                  </w:pPr>
                </w:p>
                <w:p w:rsidR="00314446" w:rsidRPr="007E4FA7" w:rsidRDefault="00314446" w:rsidP="00314446">
                  <w:pPr>
                    <w:jc w:val="center"/>
                    <w:rPr>
                      <w:lang w:val="pt-BR"/>
                    </w:rPr>
                  </w:pPr>
                  <w:r w:rsidRPr="007E4FA7">
                    <w:rPr>
                      <w:b/>
                      <w:color w:val="008000"/>
                      <w:sz w:val="22"/>
                      <w:lang w:val="pt-BR"/>
                    </w:rPr>
                    <w:t>RL</w:t>
                  </w:r>
                  <w:r w:rsidRPr="007E4FA7">
                    <w:rPr>
                      <w:b/>
                      <w:color w:val="000000"/>
                      <w:sz w:val="22"/>
                      <w:lang w:val="pt-BR"/>
                    </w:rPr>
                    <w:t xml:space="preserve"> 3</w:t>
                  </w:r>
                </w:p>
                <w:p w:rsidR="00314446" w:rsidRPr="007E4FA7" w:rsidRDefault="00314446" w:rsidP="00314446">
                  <w:pPr>
                    <w:jc w:val="center"/>
                    <w:rPr>
                      <w:color w:val="000000"/>
                      <w:sz w:val="2"/>
                      <w:szCs w:val="2"/>
                      <w:lang w:val="pt-BR"/>
                    </w:rPr>
                  </w:pPr>
                </w:p>
                <w:p w:rsidR="00314446" w:rsidRPr="007E4FA7" w:rsidRDefault="00314446" w:rsidP="00314446">
                  <w:pPr>
                    <w:jc w:val="center"/>
                    <w:rPr>
                      <w:lang w:val="pt-BR"/>
                    </w:rPr>
                  </w:pPr>
                  <w:r w:rsidRPr="007E4FA7">
                    <w:rPr>
                      <w:b/>
                      <w:color w:val="000000"/>
                      <w:sz w:val="22"/>
                      <w:lang w:val="pt-BR"/>
                    </w:rPr>
                    <w:t>Produto padrão</w:t>
                  </w:r>
                </w:p>
              </w:txbxContent>
            </v:textbox>
          </v:shape>
        </w:pict>
      </w:r>
      <w:r>
        <w:rPr>
          <w:lang w:val="pt-BR"/>
        </w:rPr>
        <w:pict>
          <v:shape id="_x0000_s1033" type="#_x0000_t80" style="position:absolute;margin-left:197.6pt;margin-top:19.85pt;width:2in;height:80.95pt;z-index:251658752" adj="17312" fillcolor="#ffc">
            <v:textbox style="mso-next-textbox:#_x0000_s1033">
              <w:txbxContent>
                <w:p w:rsidR="00314446" w:rsidRDefault="00314446" w:rsidP="00314446">
                  <w:pPr>
                    <w:jc w:val="center"/>
                    <w:rPr>
                      <w:b/>
                      <w:color w:val="000000"/>
                      <w:sz w:val="22"/>
                    </w:rPr>
                  </w:pPr>
                </w:p>
                <w:p w:rsidR="00314446" w:rsidRPr="007E4FA7" w:rsidRDefault="00314446" w:rsidP="00314446">
                  <w:pPr>
                    <w:jc w:val="center"/>
                    <w:rPr>
                      <w:lang w:val="pt-BR"/>
                    </w:rPr>
                  </w:pPr>
                  <w:r w:rsidRPr="007E4FA7">
                    <w:rPr>
                      <w:b/>
                      <w:color w:val="008000"/>
                      <w:sz w:val="22"/>
                      <w:lang w:val="pt-BR"/>
                    </w:rPr>
                    <w:t>RL</w:t>
                  </w:r>
                  <w:r w:rsidRPr="007E4FA7">
                    <w:rPr>
                      <w:b/>
                      <w:color w:val="000000"/>
                      <w:sz w:val="22"/>
                      <w:lang w:val="pt-BR"/>
                    </w:rPr>
                    <w:t xml:space="preserve"> 2</w:t>
                  </w:r>
                </w:p>
                <w:p w:rsidR="00314446" w:rsidRPr="007E4FA7" w:rsidRDefault="00314446" w:rsidP="00314446">
                  <w:pPr>
                    <w:jc w:val="center"/>
                    <w:rPr>
                      <w:color w:val="000000"/>
                      <w:sz w:val="2"/>
                      <w:szCs w:val="2"/>
                      <w:lang w:val="pt-BR"/>
                    </w:rPr>
                  </w:pPr>
                </w:p>
                <w:p w:rsidR="00314446" w:rsidRPr="007E4FA7" w:rsidRDefault="00314446" w:rsidP="00314446">
                  <w:pPr>
                    <w:jc w:val="center"/>
                    <w:rPr>
                      <w:lang w:val="pt-BR"/>
                    </w:rPr>
                  </w:pPr>
                  <w:r w:rsidRPr="007E4FA7">
                    <w:rPr>
                      <w:b/>
                      <w:color w:val="000000"/>
                      <w:sz w:val="22"/>
                      <w:lang w:val="pt-BR"/>
                    </w:rPr>
                    <w:t>Risco médio</w:t>
                  </w:r>
                </w:p>
              </w:txbxContent>
            </v:textbox>
          </v:shape>
        </w:pict>
      </w:r>
      <w:r>
        <w:rPr>
          <w:lang w:val="pt-BR"/>
        </w:rPr>
        <w:pict>
          <v:shape id="_x0000_s1032" type="#_x0000_t80" style="position:absolute;margin-left:35.6pt;margin-top:19.85pt;width:2in;height:80.95pt;z-index:251657728" adj="17439" fillcolor="#fc9">
            <v:textbox style="mso-next-textbox:#_x0000_s1032">
              <w:txbxContent>
                <w:p w:rsidR="00314446" w:rsidRDefault="00314446" w:rsidP="00314446">
                  <w:pPr>
                    <w:jc w:val="center"/>
                    <w:rPr>
                      <w:b/>
                      <w:color w:val="000000"/>
                      <w:sz w:val="22"/>
                    </w:rPr>
                  </w:pPr>
                </w:p>
                <w:p w:rsidR="00314446" w:rsidRPr="007E4FA7" w:rsidRDefault="00314446" w:rsidP="00314446">
                  <w:pPr>
                    <w:jc w:val="center"/>
                    <w:rPr>
                      <w:lang w:val="pt-BR"/>
                    </w:rPr>
                  </w:pPr>
                  <w:r w:rsidRPr="007E4FA7">
                    <w:rPr>
                      <w:b/>
                      <w:color w:val="008000"/>
                      <w:sz w:val="22"/>
                      <w:lang w:val="pt-BR"/>
                    </w:rPr>
                    <w:t>RL</w:t>
                  </w:r>
                  <w:r w:rsidRPr="007E4FA7">
                    <w:rPr>
                      <w:b/>
                      <w:color w:val="000000"/>
                      <w:sz w:val="22"/>
                      <w:lang w:val="pt-BR"/>
                    </w:rPr>
                    <w:t xml:space="preserve"> 1</w:t>
                  </w:r>
                </w:p>
                <w:p w:rsidR="00314446" w:rsidRPr="007E4FA7" w:rsidRDefault="00314446" w:rsidP="00314446">
                  <w:pPr>
                    <w:spacing w:before="60"/>
                    <w:jc w:val="center"/>
                    <w:rPr>
                      <w:lang w:val="pt-BR"/>
                    </w:rPr>
                  </w:pPr>
                  <w:r w:rsidRPr="007E4FA7">
                    <w:rPr>
                      <w:b/>
                      <w:color w:val="000000"/>
                      <w:sz w:val="22"/>
                      <w:szCs w:val="22"/>
                      <w:lang w:val="pt-BR"/>
                    </w:rPr>
                    <w:t>Risco elevado</w:t>
                  </w:r>
                </w:p>
              </w:txbxContent>
            </v:textbox>
          </v:shape>
        </w:pict>
      </w:r>
      <w:r>
        <w:rPr>
          <w:lang w:val="pt-BR"/>
        </w:rPr>
        <w:pict>
          <v:rect id="_x0000_s1031" style="position:absolute;margin-left:53pt;margin-top:272.95pt;width:5.4pt;height:11.5pt;z-index:251656704" o:allowincell="f" filled="f" stroked="f">
            <v:textbox style="mso-next-textbox:#_x0000_s1031" inset="0,0,0,0">
              <w:txbxContent>
                <w:p w:rsidR="00314446" w:rsidRDefault="00314446" w:rsidP="00314446"/>
              </w:txbxContent>
            </v:textbox>
          </v:rect>
        </w:pict>
      </w:r>
      <w:r>
        <w:rPr>
          <w:lang w:val="pt-BR"/>
        </w:rPr>
        <w:pict>
          <v:rect id="_x0000_s1030" style="position:absolute;margin-left:52.3pt;margin-top:260.15pt;width:5.4pt;height:11.5pt;z-index:251655680" o:allowincell="f" filled="f" stroked="f">
            <v:textbox style="mso-next-textbox:#_x0000_s1030" inset="0,0,0,0">
              <w:txbxContent>
                <w:p w:rsidR="00314446" w:rsidRDefault="00314446" w:rsidP="00314446"/>
              </w:txbxContent>
            </v:textbox>
          </v:rect>
        </w:pict>
      </w:r>
      <w:r>
        <w:rPr>
          <w:lang w:val="pt-BR"/>
        </w:rPr>
        <w:pict>
          <v:rect id="_x0000_s1028" style="position:absolute;margin-left:53.1pt;margin-top:234.85pt;width:5.4pt;height:11.5pt;z-index:251654656" o:allowincell="f" filled="f" stroked="f">
            <v:textbox style="mso-next-textbox:#_x0000_s1028" inset="0,0,0,0">
              <w:txbxContent>
                <w:p w:rsidR="00314446" w:rsidRDefault="00314446" w:rsidP="00314446"/>
              </w:txbxContent>
            </v:textbox>
          </v:rect>
        </w:pict>
      </w:r>
      <w:r>
        <w:rPr>
          <w:lang w:val="pt-BR"/>
        </w:rPr>
        <w:pict>
          <v:rect id="_x0000_s1027" style="position:absolute;margin-left:53.1pt;margin-top:222.05pt;width:5.4pt;height:11.5pt;z-index:251653632" o:allowincell="f" filled="f" stroked="f">
            <v:textbox style="mso-next-textbox:#_x0000_s1027" inset="0,0,0,0">
              <w:txbxContent>
                <w:p w:rsidR="00314446" w:rsidRDefault="00314446" w:rsidP="00314446"/>
              </w:txbxContent>
            </v:textbox>
          </v:rect>
        </w:pict>
      </w:r>
      <w:r>
        <w:rPr>
          <w:lang w:val="pt-BR"/>
        </w:rPr>
        <w:pict>
          <v:shape id="_x0000_s1026" style="position:absolute;margin-left:348.3pt;margin-top:42.95pt;width:149.85pt;height:130.5pt;z-index:251652608;mso-position-horizontal-relative:text;mso-position-vertical-relative:text" coordsize="2997,2610" o:allowincell="f" path="m,l2997,r,1739l1873,1739r,435l2248,2174r-748,436l749,2174r375,l1124,1739,,1739,,xe" stroked="f">
            <v:path arrowok="t"/>
          </v:shape>
        </w:pict>
      </w:r>
    </w:p>
    <w:p w:rsidR="00314446" w:rsidRPr="00032A00" w:rsidRDefault="00314446" w:rsidP="00314446">
      <w:pPr>
        <w:spacing w:after="80"/>
        <w:jc w:val="both"/>
        <w:rPr>
          <w:sz w:val="22"/>
          <w:lang w:val="pt-BR"/>
        </w:rPr>
      </w:pPr>
      <w:r w:rsidRPr="00032A00">
        <w:rPr>
          <w:sz w:val="22"/>
          <w:lang w:val="pt-BR"/>
        </w:rPr>
        <w:lastRenderedPageBreak/>
        <w:t xml:space="preserve">No mais tardar na emissão da ordem, o fornecedor é informado sobre a classificação do </w:t>
      </w:r>
      <w:r w:rsidRPr="00032A00">
        <w:rPr>
          <w:color w:val="008000"/>
          <w:sz w:val="22"/>
          <w:lang w:val="pt-BR"/>
        </w:rPr>
        <w:t>risco</w:t>
      </w:r>
      <w:r w:rsidRPr="00032A00">
        <w:rPr>
          <w:sz w:val="22"/>
          <w:lang w:val="pt-BR"/>
        </w:rPr>
        <w:t xml:space="preserve">. Em caso de riscos não previstos, o cliente pode alterar a classificação do </w:t>
      </w:r>
      <w:r w:rsidRPr="00032A00">
        <w:rPr>
          <w:color w:val="008000"/>
          <w:sz w:val="22"/>
          <w:lang w:val="pt-BR"/>
        </w:rPr>
        <w:t>risco</w:t>
      </w:r>
      <w:r w:rsidRPr="00032A00">
        <w:rPr>
          <w:sz w:val="22"/>
          <w:lang w:val="pt-BR"/>
        </w:rPr>
        <w:t xml:space="preserve"> durante seu desenvolvimento.</w:t>
      </w:r>
    </w:p>
    <w:p w:rsidR="00314446" w:rsidRPr="00032A00" w:rsidRDefault="00314446" w:rsidP="00314446">
      <w:pPr>
        <w:jc w:val="both"/>
        <w:rPr>
          <w:sz w:val="22"/>
          <w:lang w:val="pt-BR"/>
        </w:rPr>
      </w:pPr>
      <w:r w:rsidRPr="00032A00">
        <w:rPr>
          <w:sz w:val="22"/>
          <w:lang w:val="pt-BR"/>
        </w:rPr>
        <w:t xml:space="preserve">Se os requisitos do projeto são modificados durante seu desenvolvimento, todos os documentos afetados, como por exemplo, </w:t>
      </w:r>
      <w:r w:rsidRPr="00032A00">
        <w:rPr>
          <w:color w:val="008000"/>
          <w:sz w:val="22"/>
          <w:lang w:val="pt-BR"/>
        </w:rPr>
        <w:t>plano de controle de produção/</w:t>
      </w:r>
      <w:r w:rsidRPr="00032A00">
        <w:rPr>
          <w:sz w:val="22"/>
          <w:lang w:val="pt-BR"/>
        </w:rPr>
        <w:t>plano de controle, FMEA, fluxograma de processo, etc. devem ser ajustados.</w:t>
      </w:r>
    </w:p>
    <w:p w:rsidR="00314446" w:rsidRPr="00032A00" w:rsidRDefault="00314446" w:rsidP="00314446">
      <w:pPr>
        <w:pStyle w:val="Ttulo2"/>
        <w:rPr>
          <w:lang w:val="pt-BR"/>
        </w:rPr>
      </w:pPr>
      <w:r w:rsidRPr="00032A00">
        <w:rPr>
          <w:lang w:val="pt-BR"/>
        </w:rPr>
        <w:t xml:space="preserve">Classificação de </w:t>
      </w:r>
      <w:r w:rsidRPr="00032A00">
        <w:rPr>
          <w:color w:val="008000"/>
          <w:lang w:val="pt-BR"/>
        </w:rPr>
        <w:t>risco</w:t>
      </w:r>
      <w:r w:rsidRPr="00032A00">
        <w:rPr>
          <w:lang w:val="pt-BR"/>
        </w:rPr>
        <w:t xml:space="preserve"> </w:t>
      </w:r>
      <w:r w:rsidRPr="00032A00">
        <w:rPr>
          <w:color w:val="008000"/>
          <w:lang w:val="pt-BR"/>
        </w:rPr>
        <w:t>RL</w:t>
      </w:r>
      <w:r w:rsidRPr="00032A00">
        <w:rPr>
          <w:lang w:val="pt-BR"/>
        </w:rPr>
        <w:t xml:space="preserve"> 1 - </w:t>
      </w:r>
      <w:r w:rsidRPr="00032A00">
        <w:rPr>
          <w:color w:val="000000"/>
          <w:lang w:val="pt-BR"/>
        </w:rPr>
        <w:t>Risco elevado</w:t>
      </w:r>
    </w:p>
    <w:p w:rsidR="00314446" w:rsidRPr="00032A00" w:rsidRDefault="00314446" w:rsidP="00314446">
      <w:pPr>
        <w:pStyle w:val="StandardBlock"/>
        <w:rPr>
          <w:lang w:val="pt-BR"/>
        </w:rPr>
      </w:pPr>
      <w:r w:rsidRPr="00032A00">
        <w:rPr>
          <w:lang w:val="pt-BR"/>
        </w:rPr>
        <w:t xml:space="preserve">Sob sua própria responsabilidade, o fornecedor deve relatar à pessoa de contato do cliente, através do </w:t>
      </w:r>
      <w:r w:rsidRPr="00032A00">
        <w:rPr>
          <w:i/>
          <w:lang w:val="pt-BR"/>
        </w:rPr>
        <w:t>APQP Status Report</w:t>
      </w:r>
      <w:r w:rsidRPr="00032A00">
        <w:rPr>
          <w:lang w:val="pt-BR"/>
        </w:rPr>
        <w:t xml:space="preserve"> (ver </w:t>
      </w:r>
      <w:r w:rsidRPr="00032A00">
        <w:rPr>
          <w:i/>
          <w:lang w:val="pt-BR"/>
        </w:rPr>
        <w:t xml:space="preserve">QSV / </w:t>
      </w:r>
      <w:r w:rsidRPr="00032A00">
        <w:rPr>
          <w:i/>
          <w:color w:val="008000"/>
          <w:lang w:val="pt-BR"/>
        </w:rPr>
        <w:t>S 296001-</w:t>
      </w:r>
      <w:r w:rsidRPr="00032A00">
        <w:rPr>
          <w:i/>
          <w:lang w:val="pt-BR"/>
        </w:rPr>
        <w:t>1, Anexo 3</w:t>
      </w:r>
      <w:r w:rsidRPr="00032A00">
        <w:rPr>
          <w:lang w:val="pt-BR"/>
        </w:rPr>
        <w:t>):</w:t>
      </w:r>
    </w:p>
    <w:p w:rsidR="00314446" w:rsidRPr="00032A00" w:rsidRDefault="00314446" w:rsidP="00314446">
      <w:pPr>
        <w:numPr>
          <w:ilvl w:val="0"/>
          <w:numId w:val="8"/>
        </w:numPr>
        <w:spacing w:before="120"/>
        <w:ind w:left="357" w:hanging="357"/>
        <w:rPr>
          <w:sz w:val="22"/>
          <w:lang w:val="pt-BR"/>
        </w:rPr>
      </w:pPr>
      <w:r w:rsidRPr="00032A00">
        <w:rPr>
          <w:sz w:val="22"/>
          <w:lang w:val="pt-BR"/>
        </w:rPr>
        <w:t>No mais tardar quatro semanas após a confirmação da ordem.</w:t>
      </w:r>
    </w:p>
    <w:p w:rsidR="00314446" w:rsidRPr="00032A00" w:rsidRDefault="00314446" w:rsidP="00314446">
      <w:pPr>
        <w:numPr>
          <w:ilvl w:val="0"/>
          <w:numId w:val="8"/>
        </w:numPr>
        <w:spacing w:before="40"/>
        <w:rPr>
          <w:sz w:val="22"/>
          <w:lang w:val="pt-BR"/>
        </w:rPr>
      </w:pPr>
      <w:r w:rsidRPr="00032A00">
        <w:rPr>
          <w:sz w:val="22"/>
          <w:lang w:val="pt-BR"/>
        </w:rPr>
        <w:t xml:space="preserve">Na amostragem inicial da produção seriada. </w:t>
      </w:r>
    </w:p>
    <w:p w:rsidR="00314446" w:rsidRPr="00032A00" w:rsidRDefault="00314446" w:rsidP="00314446">
      <w:pPr>
        <w:numPr>
          <w:ilvl w:val="0"/>
          <w:numId w:val="8"/>
        </w:numPr>
        <w:spacing w:before="40"/>
        <w:rPr>
          <w:sz w:val="22"/>
          <w:lang w:val="pt-BR"/>
        </w:rPr>
      </w:pPr>
      <w:r w:rsidRPr="00032A00">
        <w:rPr>
          <w:sz w:val="22"/>
          <w:lang w:val="pt-BR"/>
        </w:rPr>
        <w:t xml:space="preserve">Em tempo hábil em caso de problemas (o status </w:t>
      </w:r>
      <w:r w:rsidRPr="00032A00">
        <w:rPr>
          <w:i/>
          <w:sz w:val="22"/>
          <w:lang w:val="pt-BR"/>
        </w:rPr>
        <w:t>APQP</w:t>
      </w:r>
      <w:r w:rsidRPr="00032A00">
        <w:rPr>
          <w:sz w:val="22"/>
          <w:lang w:val="pt-BR"/>
        </w:rPr>
        <w:t xml:space="preserve"> de um elemento é "amarelo" ou "vermelho")</w:t>
      </w:r>
    </w:p>
    <w:p w:rsidR="00314446" w:rsidRPr="00032A00" w:rsidRDefault="00314446" w:rsidP="00314446">
      <w:pPr>
        <w:numPr>
          <w:ilvl w:val="0"/>
          <w:numId w:val="8"/>
        </w:numPr>
        <w:spacing w:before="40"/>
        <w:rPr>
          <w:sz w:val="22"/>
          <w:lang w:val="pt-BR"/>
        </w:rPr>
      </w:pPr>
      <w:r w:rsidRPr="00032A00">
        <w:rPr>
          <w:sz w:val="22"/>
          <w:lang w:val="pt-BR"/>
        </w:rPr>
        <w:t>Em datas posteriores, combinadas individualmente entre o cliente e o fornecedor no contexto do trabalho do projeto.</w:t>
      </w:r>
    </w:p>
    <w:p w:rsidR="00314446" w:rsidRPr="00032A00" w:rsidRDefault="00314446" w:rsidP="00314446">
      <w:pPr>
        <w:spacing w:before="80"/>
        <w:jc w:val="both"/>
        <w:rPr>
          <w:sz w:val="22"/>
          <w:lang w:val="pt-BR"/>
        </w:rPr>
      </w:pPr>
      <w:r w:rsidRPr="00032A00">
        <w:rPr>
          <w:sz w:val="22"/>
          <w:lang w:val="pt-BR"/>
        </w:rPr>
        <w:t xml:space="preserve">O progresso do projeto é verificado pelo cliente no contexto das reuniões de projeto localmente no fornecedor ou no cliente. Como evidência devem ser apresentados documentos como o </w:t>
      </w:r>
      <w:r w:rsidRPr="00032A00">
        <w:rPr>
          <w:color w:val="008000"/>
          <w:sz w:val="22"/>
          <w:lang w:val="pt-BR"/>
        </w:rPr>
        <w:t>plano de controle de produção/</w:t>
      </w:r>
      <w:r w:rsidRPr="00032A00">
        <w:rPr>
          <w:sz w:val="22"/>
          <w:lang w:val="pt-BR"/>
        </w:rPr>
        <w:t>plano de controle, FMEA, fluxograma de processo, etc.</w:t>
      </w:r>
    </w:p>
    <w:p w:rsidR="00314446" w:rsidRPr="00032A00" w:rsidRDefault="00314446" w:rsidP="00314446">
      <w:pPr>
        <w:pStyle w:val="StandardBlock"/>
        <w:spacing w:before="80"/>
        <w:rPr>
          <w:lang w:val="pt-BR"/>
        </w:rPr>
      </w:pPr>
      <w:r w:rsidRPr="00032A00">
        <w:rPr>
          <w:lang w:val="pt-BR"/>
        </w:rPr>
        <w:t>O cliente libera o processo de produção seriada através de aceitação / auditoria de processo localmente no fornecedor e, se necessário, em seus subfornecedores. O prazo e o escopo da verificação no local são estipulados no âmbito do planejamento avançado da qualidade entre o fornecedor e o cliente.</w:t>
      </w:r>
    </w:p>
    <w:p w:rsidR="00314446" w:rsidRPr="00032A00" w:rsidRDefault="00314446" w:rsidP="00314446">
      <w:pPr>
        <w:pStyle w:val="Ttulo2"/>
        <w:rPr>
          <w:lang w:val="pt-BR"/>
        </w:rPr>
      </w:pPr>
      <w:r w:rsidRPr="00032A00">
        <w:rPr>
          <w:lang w:val="pt-BR"/>
        </w:rPr>
        <w:t xml:space="preserve">Classificação de </w:t>
      </w:r>
      <w:r w:rsidRPr="00032A00">
        <w:rPr>
          <w:color w:val="008000"/>
          <w:lang w:val="pt-BR"/>
        </w:rPr>
        <w:t>risco</w:t>
      </w:r>
      <w:r w:rsidRPr="00032A00">
        <w:rPr>
          <w:lang w:val="pt-BR"/>
        </w:rPr>
        <w:t xml:space="preserve"> </w:t>
      </w:r>
      <w:r w:rsidRPr="00032A00">
        <w:rPr>
          <w:color w:val="008000"/>
          <w:lang w:val="pt-BR"/>
        </w:rPr>
        <w:t>RL</w:t>
      </w:r>
      <w:r w:rsidRPr="00032A00">
        <w:rPr>
          <w:lang w:val="pt-BR"/>
        </w:rPr>
        <w:t xml:space="preserve"> 2 - Risco médio</w:t>
      </w:r>
    </w:p>
    <w:p w:rsidR="00314446" w:rsidRPr="00032A00" w:rsidRDefault="00314446" w:rsidP="00314446">
      <w:pPr>
        <w:pStyle w:val="StandardBlock"/>
        <w:rPr>
          <w:lang w:val="pt-BR"/>
        </w:rPr>
      </w:pPr>
      <w:r w:rsidRPr="00032A00">
        <w:rPr>
          <w:lang w:val="pt-BR"/>
        </w:rPr>
        <w:t xml:space="preserve">Sob sua própria responsabilidade, o fornecedor deve relatar à pessoa de contato do cliente, através do </w:t>
      </w:r>
      <w:r w:rsidRPr="00032A00">
        <w:rPr>
          <w:i/>
          <w:lang w:val="pt-BR"/>
        </w:rPr>
        <w:t>APQP Status Report</w:t>
      </w:r>
      <w:r w:rsidRPr="00032A00">
        <w:rPr>
          <w:lang w:val="pt-BR"/>
        </w:rPr>
        <w:t xml:space="preserve"> (ver </w:t>
      </w:r>
      <w:r w:rsidRPr="00032A00">
        <w:rPr>
          <w:i/>
          <w:lang w:val="pt-BR"/>
        </w:rPr>
        <w:t xml:space="preserve">QSV / </w:t>
      </w:r>
      <w:r w:rsidRPr="00032A00">
        <w:rPr>
          <w:i/>
          <w:color w:val="008000"/>
          <w:lang w:val="pt-BR"/>
        </w:rPr>
        <w:t>S 296001</w:t>
      </w:r>
      <w:r w:rsidRPr="00032A00">
        <w:rPr>
          <w:i/>
          <w:lang w:val="pt-BR"/>
        </w:rPr>
        <w:t>-1, Anexo 3</w:t>
      </w:r>
      <w:r w:rsidRPr="00032A00">
        <w:rPr>
          <w:lang w:val="pt-BR"/>
        </w:rPr>
        <w:t>):</w:t>
      </w:r>
    </w:p>
    <w:p w:rsidR="00314446" w:rsidRPr="00032A00" w:rsidRDefault="00314446" w:rsidP="00314446">
      <w:pPr>
        <w:numPr>
          <w:ilvl w:val="0"/>
          <w:numId w:val="9"/>
        </w:numPr>
        <w:spacing w:before="120"/>
        <w:ind w:left="357" w:hanging="357"/>
        <w:rPr>
          <w:sz w:val="22"/>
          <w:lang w:val="pt-BR"/>
        </w:rPr>
      </w:pPr>
      <w:r w:rsidRPr="00032A00">
        <w:rPr>
          <w:sz w:val="22"/>
          <w:lang w:val="pt-BR"/>
        </w:rPr>
        <w:t>No mais tardar quatro semanas após a confirmação da ordem.</w:t>
      </w:r>
    </w:p>
    <w:p w:rsidR="00314446" w:rsidRPr="00032A00" w:rsidRDefault="00314446" w:rsidP="00314446">
      <w:pPr>
        <w:numPr>
          <w:ilvl w:val="0"/>
          <w:numId w:val="9"/>
        </w:numPr>
        <w:spacing w:before="40"/>
        <w:rPr>
          <w:sz w:val="22"/>
          <w:lang w:val="pt-BR"/>
        </w:rPr>
      </w:pPr>
      <w:r w:rsidRPr="00032A00">
        <w:rPr>
          <w:sz w:val="22"/>
          <w:lang w:val="pt-BR"/>
        </w:rPr>
        <w:t xml:space="preserve">Na amostragem inicial da produção seriada. </w:t>
      </w:r>
    </w:p>
    <w:p w:rsidR="00314446" w:rsidRPr="00032A00" w:rsidRDefault="00314446" w:rsidP="00314446">
      <w:pPr>
        <w:numPr>
          <w:ilvl w:val="0"/>
          <w:numId w:val="9"/>
        </w:numPr>
        <w:spacing w:before="40"/>
        <w:rPr>
          <w:sz w:val="22"/>
          <w:lang w:val="pt-BR"/>
        </w:rPr>
      </w:pPr>
      <w:r w:rsidRPr="00032A00">
        <w:rPr>
          <w:sz w:val="22"/>
          <w:lang w:val="pt-BR"/>
        </w:rPr>
        <w:t xml:space="preserve">Em tempo hábil em caso de problemas (o status </w:t>
      </w:r>
      <w:r w:rsidRPr="00032A00">
        <w:rPr>
          <w:i/>
          <w:sz w:val="22"/>
          <w:lang w:val="pt-BR"/>
        </w:rPr>
        <w:t>APQP</w:t>
      </w:r>
      <w:r w:rsidRPr="00032A00">
        <w:rPr>
          <w:sz w:val="22"/>
          <w:lang w:val="pt-BR"/>
        </w:rPr>
        <w:t xml:space="preserve"> de um elemento é "amarelo" ou "vermelho")</w:t>
      </w:r>
    </w:p>
    <w:p w:rsidR="00314446" w:rsidRPr="00032A00" w:rsidRDefault="00314446" w:rsidP="00314446">
      <w:pPr>
        <w:pStyle w:val="StandardBlock"/>
        <w:spacing w:before="80"/>
        <w:rPr>
          <w:szCs w:val="22"/>
          <w:lang w:val="pt-BR"/>
        </w:rPr>
      </w:pPr>
      <w:r w:rsidRPr="00032A00">
        <w:rPr>
          <w:szCs w:val="22"/>
          <w:lang w:val="pt-BR"/>
        </w:rPr>
        <w:t xml:space="preserve">O progresso do projeto pode ser verificado pelo cliente no contexto das reuniões de projeto localmente no fornecedor ou no cliente. Como evidência devem ser apresentados documentos como o </w:t>
      </w:r>
      <w:r w:rsidRPr="00032A00">
        <w:rPr>
          <w:color w:val="008000"/>
          <w:szCs w:val="22"/>
          <w:lang w:val="pt-BR"/>
        </w:rPr>
        <w:t>plano de controle de produção/</w:t>
      </w:r>
      <w:r w:rsidRPr="00032A00">
        <w:rPr>
          <w:szCs w:val="22"/>
          <w:lang w:val="pt-BR"/>
        </w:rPr>
        <w:t>plano de controle, FMEA, etc.</w:t>
      </w:r>
    </w:p>
    <w:p w:rsidR="00314446" w:rsidRPr="00032A00" w:rsidRDefault="00314446" w:rsidP="00314446">
      <w:pPr>
        <w:pStyle w:val="StandardBlock"/>
        <w:spacing w:before="80"/>
        <w:rPr>
          <w:szCs w:val="22"/>
          <w:lang w:val="pt-BR"/>
        </w:rPr>
      </w:pPr>
      <w:r w:rsidRPr="00032A00">
        <w:rPr>
          <w:szCs w:val="22"/>
          <w:lang w:val="pt-BR"/>
        </w:rPr>
        <w:t>O cliente pode liberar o processo de produção seriada através de aceitação do processo localmente no fornecedor e, se necessário, em seus subfornecedores. O prazo e o escopo da verificação no local são estipulados no âmbito do planejamento avançado da qualidade entre o fornecedor e o cliente.</w:t>
      </w:r>
    </w:p>
    <w:p w:rsidR="00314446" w:rsidRPr="00032A00" w:rsidRDefault="00314446" w:rsidP="00314446">
      <w:pPr>
        <w:pStyle w:val="Ttulo2"/>
        <w:rPr>
          <w:lang w:val="pt-BR"/>
        </w:rPr>
      </w:pPr>
      <w:r w:rsidRPr="00032A00">
        <w:rPr>
          <w:lang w:val="pt-BR"/>
        </w:rPr>
        <w:t xml:space="preserve">Classificação de </w:t>
      </w:r>
      <w:r w:rsidRPr="00032A00">
        <w:rPr>
          <w:color w:val="008000"/>
          <w:lang w:val="pt-BR"/>
        </w:rPr>
        <w:t>risco</w:t>
      </w:r>
      <w:r w:rsidRPr="00032A00">
        <w:rPr>
          <w:lang w:val="pt-BR"/>
        </w:rPr>
        <w:t xml:space="preserve"> </w:t>
      </w:r>
      <w:r w:rsidRPr="00032A00">
        <w:rPr>
          <w:color w:val="008000"/>
          <w:lang w:val="pt-BR"/>
        </w:rPr>
        <w:t>RL</w:t>
      </w:r>
      <w:r w:rsidRPr="00032A00">
        <w:rPr>
          <w:lang w:val="pt-BR"/>
        </w:rPr>
        <w:t xml:space="preserve"> 3 - Risco padrão</w:t>
      </w:r>
    </w:p>
    <w:p w:rsidR="00314446" w:rsidRPr="00032A00" w:rsidRDefault="00314446" w:rsidP="00314446">
      <w:pPr>
        <w:pStyle w:val="StandardBlock"/>
        <w:rPr>
          <w:lang w:val="pt-BR"/>
        </w:rPr>
      </w:pPr>
      <w:r w:rsidRPr="00032A00">
        <w:rPr>
          <w:lang w:val="pt-BR"/>
        </w:rPr>
        <w:t xml:space="preserve">Sob sua própria responsabilidade, o fornecedor relata sem formulário (sem </w:t>
      </w:r>
      <w:r w:rsidRPr="00032A00">
        <w:rPr>
          <w:i/>
          <w:lang w:val="pt-BR"/>
        </w:rPr>
        <w:t>APQP Status Report)</w:t>
      </w:r>
      <w:r w:rsidRPr="00032A00">
        <w:rPr>
          <w:lang w:val="pt-BR"/>
        </w:rPr>
        <w:t xml:space="preserve"> à pessoa de contato do cliente:</w:t>
      </w:r>
    </w:p>
    <w:p w:rsidR="00314446" w:rsidRPr="00032A00" w:rsidRDefault="00314446" w:rsidP="00314446">
      <w:pPr>
        <w:numPr>
          <w:ilvl w:val="0"/>
          <w:numId w:val="10"/>
        </w:numPr>
        <w:spacing w:before="120"/>
        <w:ind w:left="357" w:hanging="357"/>
        <w:rPr>
          <w:sz w:val="22"/>
          <w:lang w:val="pt-BR"/>
        </w:rPr>
      </w:pPr>
      <w:r w:rsidRPr="00032A00">
        <w:rPr>
          <w:sz w:val="22"/>
          <w:lang w:val="pt-BR"/>
        </w:rPr>
        <w:t xml:space="preserve">Em tempo hábil em caso de problemas. </w:t>
      </w:r>
    </w:p>
    <w:p w:rsidR="00314446" w:rsidRPr="00032A00" w:rsidRDefault="00314446" w:rsidP="00314446">
      <w:pPr>
        <w:spacing w:before="80"/>
        <w:jc w:val="both"/>
        <w:rPr>
          <w:sz w:val="22"/>
          <w:lang w:val="pt-BR"/>
        </w:rPr>
      </w:pPr>
      <w:r w:rsidRPr="00032A00">
        <w:rPr>
          <w:sz w:val="22"/>
          <w:lang w:val="pt-BR"/>
        </w:rPr>
        <w:t>O progresso do projeto pode ser verificado pelo cliente no contexto das reuniões de projeto localmente no fornecedor ou no cliente. Como evidência devem ser apresentados documentos como o</w:t>
      </w:r>
      <w:r w:rsidRPr="00032A00">
        <w:rPr>
          <w:szCs w:val="22"/>
          <w:lang w:val="pt-BR"/>
        </w:rPr>
        <w:t xml:space="preserve"> </w:t>
      </w:r>
      <w:r w:rsidRPr="00032A00">
        <w:rPr>
          <w:color w:val="008000"/>
          <w:sz w:val="22"/>
          <w:lang w:val="pt-BR"/>
        </w:rPr>
        <w:t>plano de controle da produção</w:t>
      </w:r>
      <w:r w:rsidRPr="00032A00">
        <w:rPr>
          <w:color w:val="008000"/>
          <w:szCs w:val="22"/>
          <w:lang w:val="pt-BR"/>
        </w:rPr>
        <w:t>/</w:t>
      </w:r>
      <w:r w:rsidRPr="00032A00">
        <w:rPr>
          <w:sz w:val="22"/>
          <w:lang w:val="pt-BR"/>
        </w:rPr>
        <w:t>plano de controle, FMEA, etc.</w:t>
      </w:r>
    </w:p>
    <w:p w:rsidR="00314446" w:rsidRPr="00032A00" w:rsidRDefault="00314446" w:rsidP="00314446">
      <w:pPr>
        <w:pStyle w:val="Ttulo1"/>
        <w:pageBreakBefore/>
        <w:rPr>
          <w:lang w:val="pt-BR"/>
        </w:rPr>
      </w:pPr>
      <w:r w:rsidRPr="00032A00">
        <w:rPr>
          <w:lang w:val="pt-BR"/>
        </w:rPr>
        <w:lastRenderedPageBreak/>
        <w:t>Monitoramento do progresso do projeto</w:t>
      </w:r>
    </w:p>
    <w:p w:rsidR="00314446" w:rsidRPr="00032A00" w:rsidRDefault="00314446" w:rsidP="00314446">
      <w:pPr>
        <w:jc w:val="both"/>
        <w:rPr>
          <w:sz w:val="22"/>
          <w:lang w:val="pt-BR"/>
        </w:rPr>
      </w:pPr>
      <w:r w:rsidRPr="00032A00">
        <w:rPr>
          <w:sz w:val="22"/>
          <w:lang w:val="pt-BR"/>
        </w:rPr>
        <w:t xml:space="preserve">Sob sua própria responsabilidade, o fornecedor deve monitorar o progresso do projeto e relatar ao cliente, dependendo da classificação de </w:t>
      </w:r>
      <w:r w:rsidRPr="00032A00">
        <w:rPr>
          <w:color w:val="008000"/>
          <w:sz w:val="22"/>
          <w:lang w:val="pt-BR"/>
        </w:rPr>
        <w:t>risco</w:t>
      </w:r>
      <w:r w:rsidRPr="00032A00">
        <w:rPr>
          <w:sz w:val="22"/>
          <w:lang w:val="pt-BR"/>
        </w:rPr>
        <w:t xml:space="preserve">. </w:t>
      </w:r>
    </w:p>
    <w:p w:rsidR="00314446" w:rsidRPr="00032A00" w:rsidRDefault="00314446" w:rsidP="00314446">
      <w:pPr>
        <w:pStyle w:val="StandardBlock"/>
        <w:spacing w:before="80"/>
        <w:rPr>
          <w:color w:val="008000"/>
          <w:lang w:val="pt-BR"/>
        </w:rPr>
      </w:pPr>
      <w:r w:rsidRPr="00032A00">
        <w:rPr>
          <w:color w:val="008000"/>
          <w:szCs w:val="22"/>
          <w:lang w:val="pt-BR"/>
        </w:rPr>
        <w:t>Se solicitado pelo contato do cliente, devem ser processados os intercâmbios de informações relevantes para o projeto, como p. ex. status do projeto APQP, através do local na internet</w:t>
      </w:r>
      <w:r w:rsidRPr="00032A00">
        <w:rPr>
          <w:color w:val="008000"/>
          <w:lang w:val="pt-BR"/>
        </w:rPr>
        <w:t xml:space="preserve"> </w:t>
      </w:r>
      <w:r w:rsidRPr="00032A00">
        <w:rPr>
          <w:i/>
          <w:color w:val="008000"/>
          <w:lang w:val="pt-BR"/>
        </w:rPr>
        <w:t>SupplyOn</w:t>
      </w:r>
      <w:r w:rsidRPr="00032A00">
        <w:rPr>
          <w:color w:val="008000"/>
          <w:lang w:val="pt-BR"/>
        </w:rPr>
        <w:t xml:space="preserve"> com o módulo baseado na web</w:t>
      </w:r>
      <w:r w:rsidRPr="00032A00">
        <w:rPr>
          <w:color w:val="008000"/>
          <w:szCs w:val="22"/>
          <w:lang w:val="pt-BR"/>
        </w:rPr>
        <w:t xml:space="preserve"> </w:t>
      </w:r>
      <w:r w:rsidRPr="00032A00">
        <w:rPr>
          <w:i/>
          <w:color w:val="008000"/>
          <w:szCs w:val="22"/>
          <w:lang w:val="pt-BR"/>
        </w:rPr>
        <w:t>Project Management</w:t>
      </w:r>
      <w:r w:rsidRPr="00032A00">
        <w:rPr>
          <w:color w:val="008000"/>
          <w:szCs w:val="22"/>
          <w:lang w:val="pt-BR"/>
        </w:rPr>
        <w:t xml:space="preserve"> </w:t>
      </w:r>
      <w:r w:rsidRPr="00032A00">
        <w:rPr>
          <w:color w:val="008000"/>
          <w:lang w:val="pt-BR"/>
        </w:rPr>
        <w:t xml:space="preserve"> (mais detalhes, acesse </w:t>
      </w:r>
      <w:r w:rsidRPr="00032A00">
        <w:rPr>
          <w:i/>
          <w:color w:val="008000"/>
          <w:lang w:val="pt-BR"/>
        </w:rPr>
        <w:t>www.SupplyOn.com</w:t>
      </w:r>
      <w:r w:rsidRPr="00032A00">
        <w:rPr>
          <w:color w:val="008000"/>
          <w:lang w:val="pt-BR"/>
        </w:rPr>
        <w:t xml:space="preserve">). </w:t>
      </w:r>
    </w:p>
    <w:p w:rsidR="00314446" w:rsidRPr="00032A00" w:rsidRDefault="00314446" w:rsidP="00314446">
      <w:pPr>
        <w:pStyle w:val="StandardBlock"/>
        <w:spacing w:before="80"/>
        <w:rPr>
          <w:szCs w:val="22"/>
          <w:lang w:val="pt-BR"/>
        </w:rPr>
      </w:pPr>
      <w:r w:rsidRPr="00032A00">
        <w:rPr>
          <w:szCs w:val="22"/>
          <w:lang w:val="pt-BR"/>
        </w:rPr>
        <w:t xml:space="preserve">Para o planejamento do projeto e o monitoramento dos prazos, no início do projeto devem ser introduzidos os prazos planejados dos elementos </w:t>
      </w:r>
      <w:r w:rsidRPr="00032A00">
        <w:rPr>
          <w:i/>
          <w:szCs w:val="22"/>
          <w:lang w:val="pt-BR"/>
        </w:rPr>
        <w:t xml:space="preserve">APQP </w:t>
      </w:r>
      <w:r w:rsidRPr="00032A00">
        <w:rPr>
          <w:szCs w:val="22"/>
          <w:lang w:val="pt-BR"/>
        </w:rPr>
        <w:t xml:space="preserve"> individuais </w:t>
      </w:r>
      <w:r w:rsidRPr="00032A00">
        <w:rPr>
          <w:color w:val="008000"/>
          <w:szCs w:val="22"/>
          <w:lang w:val="pt-BR"/>
        </w:rPr>
        <w:t xml:space="preserve">(ver </w:t>
      </w:r>
      <w:r w:rsidRPr="00032A00">
        <w:rPr>
          <w:i/>
          <w:color w:val="008000"/>
          <w:szCs w:val="22"/>
          <w:lang w:val="pt-BR"/>
        </w:rPr>
        <w:t>Anexo 2</w:t>
      </w:r>
      <w:r w:rsidRPr="00032A00">
        <w:rPr>
          <w:color w:val="008000"/>
          <w:szCs w:val="22"/>
          <w:lang w:val="pt-BR"/>
        </w:rPr>
        <w:t>)</w:t>
      </w:r>
      <w:r w:rsidRPr="00032A00">
        <w:rPr>
          <w:szCs w:val="22"/>
          <w:lang w:val="pt-BR"/>
        </w:rPr>
        <w:t xml:space="preserve"> no </w:t>
      </w:r>
      <w:r w:rsidRPr="00032A00">
        <w:rPr>
          <w:i/>
          <w:szCs w:val="22"/>
          <w:lang w:val="pt-BR"/>
        </w:rPr>
        <w:t>APQP Status Report</w:t>
      </w:r>
      <w:r w:rsidRPr="00032A00">
        <w:rPr>
          <w:szCs w:val="22"/>
          <w:lang w:val="pt-BR"/>
        </w:rPr>
        <w:t xml:space="preserve"> </w:t>
      </w:r>
      <w:r w:rsidRPr="00032A00">
        <w:rPr>
          <w:color w:val="008000"/>
          <w:szCs w:val="22"/>
          <w:lang w:val="pt-BR"/>
        </w:rPr>
        <w:t xml:space="preserve">(ver </w:t>
      </w:r>
      <w:r w:rsidRPr="00032A00">
        <w:rPr>
          <w:i/>
          <w:color w:val="008000"/>
          <w:szCs w:val="22"/>
          <w:lang w:val="pt-BR"/>
        </w:rPr>
        <w:t>Anexo 3</w:t>
      </w:r>
      <w:r w:rsidRPr="00032A00">
        <w:rPr>
          <w:color w:val="008000"/>
          <w:szCs w:val="22"/>
          <w:lang w:val="pt-BR"/>
        </w:rPr>
        <w:t>)</w:t>
      </w:r>
      <w:r w:rsidRPr="00032A00">
        <w:rPr>
          <w:szCs w:val="22"/>
          <w:lang w:val="pt-BR"/>
        </w:rPr>
        <w:t>. As datas reais são introduzidas para documentar a conclusão dos elementos.</w:t>
      </w:r>
    </w:p>
    <w:p w:rsidR="00314446" w:rsidRPr="00032A00" w:rsidRDefault="00314446" w:rsidP="00314446">
      <w:pPr>
        <w:spacing w:before="80"/>
        <w:jc w:val="both"/>
        <w:rPr>
          <w:sz w:val="22"/>
          <w:lang w:val="pt-BR"/>
        </w:rPr>
      </w:pPr>
      <w:r w:rsidRPr="00032A00">
        <w:rPr>
          <w:sz w:val="22"/>
          <w:lang w:val="pt-BR"/>
        </w:rPr>
        <w:t>Em caso de risco de não cumprimento do prazo ou dos elementos individuais, o fornecedor deve introduzir e acompanhar, sob sua própria responsabilidade, as ações corretivas apropriadas. O procedimento subsequente deve ser coordenado com o cliente.</w:t>
      </w:r>
    </w:p>
    <w:p w:rsidR="00314446" w:rsidRPr="00032A00" w:rsidRDefault="00314446" w:rsidP="00314446">
      <w:pPr>
        <w:pStyle w:val="StandardBlock"/>
        <w:spacing w:before="80" w:after="120"/>
        <w:rPr>
          <w:szCs w:val="22"/>
          <w:lang w:val="pt-BR"/>
        </w:rPr>
      </w:pPr>
      <w:r w:rsidRPr="00032A00">
        <w:rPr>
          <w:szCs w:val="22"/>
          <w:lang w:val="pt-BR"/>
        </w:rPr>
        <w:t xml:space="preserve">O status dos elementos individuais deve ser indicado por cores no </w:t>
      </w:r>
      <w:r w:rsidRPr="00032A00">
        <w:rPr>
          <w:i/>
          <w:szCs w:val="22"/>
          <w:lang w:val="pt-BR"/>
        </w:rPr>
        <w:t>APQP Status Report</w:t>
      </w:r>
      <w:r w:rsidRPr="00032A00">
        <w:rPr>
          <w:szCs w:val="22"/>
          <w:lang w:val="pt-BR"/>
        </w:rPr>
        <w:t xml:space="preserve"> como segue: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9"/>
        <w:gridCol w:w="8528"/>
      </w:tblGrid>
      <w:tr w:rsidR="00314446" w:rsidRPr="00032A00" w:rsidTr="00314446">
        <w:tc>
          <w:tcPr>
            <w:tcW w:w="993" w:type="dxa"/>
            <w:tcBorders>
              <w:bottom w:val="single" w:sz="4" w:space="0" w:color="auto"/>
            </w:tcBorders>
          </w:tcPr>
          <w:p w:rsidR="00314446" w:rsidRPr="00032A00" w:rsidRDefault="00314446" w:rsidP="00314446">
            <w:pPr>
              <w:pStyle w:val="StandardBlock"/>
              <w:spacing w:before="120" w:after="120"/>
              <w:jc w:val="center"/>
              <w:rPr>
                <w:b/>
                <w:szCs w:val="22"/>
                <w:lang w:val="pt-BR"/>
              </w:rPr>
            </w:pPr>
            <w:r w:rsidRPr="00032A00">
              <w:rPr>
                <w:b/>
                <w:szCs w:val="22"/>
                <w:lang w:val="pt-BR"/>
              </w:rPr>
              <w:t>Status</w:t>
            </w:r>
          </w:p>
        </w:tc>
        <w:tc>
          <w:tcPr>
            <w:tcW w:w="8678" w:type="dxa"/>
          </w:tcPr>
          <w:p w:rsidR="00314446" w:rsidRPr="00032A00" w:rsidRDefault="00314446" w:rsidP="00314446">
            <w:pPr>
              <w:pStyle w:val="StandardBlock"/>
              <w:spacing w:before="120" w:after="120"/>
              <w:jc w:val="left"/>
              <w:rPr>
                <w:b/>
                <w:szCs w:val="22"/>
                <w:lang w:val="pt-BR"/>
              </w:rPr>
            </w:pPr>
            <w:r w:rsidRPr="00032A00">
              <w:rPr>
                <w:b/>
                <w:szCs w:val="22"/>
                <w:lang w:val="pt-BR"/>
              </w:rPr>
              <w:t>Significado</w:t>
            </w:r>
          </w:p>
        </w:tc>
      </w:tr>
      <w:tr w:rsidR="00314446" w:rsidRPr="00032A00" w:rsidTr="00314446">
        <w:tc>
          <w:tcPr>
            <w:tcW w:w="993" w:type="dxa"/>
            <w:tcBorders>
              <w:bottom w:val="single" w:sz="4" w:space="0" w:color="auto"/>
            </w:tcBorders>
            <w:shd w:val="clear" w:color="auto" w:fill="008000"/>
            <w:vAlign w:val="center"/>
          </w:tcPr>
          <w:p w:rsidR="00314446" w:rsidRPr="00032A00" w:rsidRDefault="00314446" w:rsidP="00314446">
            <w:pPr>
              <w:pStyle w:val="StandardBlock"/>
              <w:spacing w:before="120" w:after="120"/>
              <w:jc w:val="center"/>
              <w:rPr>
                <w:b/>
                <w:color w:val="FFFFFF"/>
                <w:szCs w:val="22"/>
                <w:lang w:val="pt-BR"/>
              </w:rPr>
            </w:pPr>
            <w:r w:rsidRPr="00032A00">
              <w:rPr>
                <w:b/>
                <w:color w:val="FFFFFF"/>
                <w:szCs w:val="22"/>
                <w:lang w:val="pt-BR"/>
              </w:rPr>
              <w:t>Verde</w:t>
            </w:r>
          </w:p>
        </w:tc>
        <w:tc>
          <w:tcPr>
            <w:tcW w:w="8678" w:type="dxa"/>
          </w:tcPr>
          <w:p w:rsidR="00314446" w:rsidRPr="00032A00" w:rsidRDefault="00314446" w:rsidP="00314446">
            <w:pPr>
              <w:pStyle w:val="StandardBlock"/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spacing w:before="120"/>
              <w:ind w:left="318" w:hanging="284"/>
              <w:rPr>
                <w:szCs w:val="22"/>
                <w:lang w:val="pt-BR"/>
              </w:rPr>
            </w:pPr>
            <w:r w:rsidRPr="00032A00">
              <w:rPr>
                <w:szCs w:val="22"/>
                <w:lang w:val="pt-BR"/>
              </w:rPr>
              <w:t>Prazo / qualidade do elemento não estão em risco.</w:t>
            </w:r>
          </w:p>
          <w:p w:rsidR="00314446" w:rsidRPr="00032A00" w:rsidRDefault="00314446" w:rsidP="00314446">
            <w:pPr>
              <w:pStyle w:val="StandardBlock"/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spacing w:before="120" w:after="120"/>
              <w:ind w:left="318" w:hanging="284"/>
              <w:rPr>
                <w:szCs w:val="22"/>
                <w:lang w:val="pt-BR"/>
              </w:rPr>
            </w:pPr>
            <w:r w:rsidRPr="00032A00">
              <w:rPr>
                <w:szCs w:val="22"/>
                <w:lang w:val="pt-BR"/>
              </w:rPr>
              <w:t>O início da produção seriada não está em risco.</w:t>
            </w:r>
          </w:p>
        </w:tc>
      </w:tr>
      <w:tr w:rsidR="00314446" w:rsidRPr="00032A00" w:rsidTr="00314446">
        <w:tc>
          <w:tcPr>
            <w:tcW w:w="99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14446" w:rsidRPr="00032A00" w:rsidRDefault="00314446" w:rsidP="00314446">
            <w:pPr>
              <w:pStyle w:val="StandardBlock"/>
              <w:spacing w:before="120" w:after="120"/>
              <w:jc w:val="center"/>
              <w:rPr>
                <w:b/>
                <w:szCs w:val="22"/>
                <w:lang w:val="pt-BR"/>
              </w:rPr>
            </w:pPr>
            <w:r w:rsidRPr="00032A00">
              <w:rPr>
                <w:b/>
                <w:szCs w:val="22"/>
                <w:lang w:val="pt-BR"/>
              </w:rPr>
              <w:t>Amarelo</w:t>
            </w:r>
          </w:p>
        </w:tc>
        <w:tc>
          <w:tcPr>
            <w:tcW w:w="8678" w:type="dxa"/>
          </w:tcPr>
          <w:p w:rsidR="00314446" w:rsidRPr="00032A00" w:rsidRDefault="00314446" w:rsidP="00314446">
            <w:pPr>
              <w:pStyle w:val="StandardBlock"/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spacing w:before="120"/>
              <w:ind w:left="318" w:hanging="318"/>
              <w:rPr>
                <w:szCs w:val="22"/>
                <w:lang w:val="pt-BR"/>
              </w:rPr>
            </w:pPr>
            <w:r w:rsidRPr="00032A00">
              <w:rPr>
                <w:szCs w:val="22"/>
                <w:lang w:val="pt-BR"/>
              </w:rPr>
              <w:t xml:space="preserve">Prazo / qualidade do elemento estão em risco. </w:t>
            </w:r>
          </w:p>
          <w:p w:rsidR="00314446" w:rsidRPr="00032A00" w:rsidRDefault="00314446" w:rsidP="00314446">
            <w:pPr>
              <w:pStyle w:val="StandardBlock"/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spacing w:before="120" w:after="120"/>
              <w:ind w:left="318" w:hanging="318"/>
              <w:rPr>
                <w:szCs w:val="22"/>
                <w:lang w:val="pt-BR"/>
              </w:rPr>
            </w:pPr>
            <w:r w:rsidRPr="00032A00">
              <w:rPr>
                <w:szCs w:val="22"/>
                <w:lang w:val="pt-BR"/>
              </w:rPr>
              <w:t>O início da produção seriada não está em risco.</w:t>
            </w:r>
          </w:p>
          <w:p w:rsidR="00314446" w:rsidRPr="00032A00" w:rsidRDefault="00314446" w:rsidP="00314446">
            <w:pPr>
              <w:pStyle w:val="StandardBlock"/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spacing w:before="120" w:after="120"/>
              <w:ind w:left="318" w:hanging="318"/>
              <w:rPr>
                <w:szCs w:val="22"/>
                <w:lang w:val="pt-BR"/>
              </w:rPr>
            </w:pPr>
            <w:r w:rsidRPr="00032A00">
              <w:rPr>
                <w:szCs w:val="22"/>
                <w:lang w:val="pt-BR"/>
              </w:rPr>
              <w:t>Devem ser definidas as ações corretivas apropriadas e os responsáveis.</w:t>
            </w:r>
          </w:p>
        </w:tc>
      </w:tr>
      <w:tr w:rsidR="00314446" w:rsidRPr="00032A00" w:rsidTr="00314446">
        <w:tc>
          <w:tcPr>
            <w:tcW w:w="993" w:type="dxa"/>
            <w:shd w:val="clear" w:color="auto" w:fill="FF0000"/>
            <w:vAlign w:val="center"/>
          </w:tcPr>
          <w:p w:rsidR="00314446" w:rsidRPr="00032A00" w:rsidRDefault="00314446" w:rsidP="00314446">
            <w:pPr>
              <w:pStyle w:val="StandardBlock"/>
              <w:spacing w:before="120" w:after="120"/>
              <w:jc w:val="center"/>
              <w:rPr>
                <w:b/>
                <w:szCs w:val="22"/>
                <w:lang w:val="pt-BR"/>
              </w:rPr>
            </w:pPr>
            <w:r w:rsidRPr="00032A00">
              <w:rPr>
                <w:b/>
                <w:szCs w:val="22"/>
                <w:lang w:val="pt-BR"/>
              </w:rPr>
              <w:t>Vermelho</w:t>
            </w:r>
          </w:p>
        </w:tc>
        <w:tc>
          <w:tcPr>
            <w:tcW w:w="8678" w:type="dxa"/>
          </w:tcPr>
          <w:p w:rsidR="00314446" w:rsidRPr="00032A00" w:rsidRDefault="00314446" w:rsidP="00314446">
            <w:pPr>
              <w:pStyle w:val="StandardBlock"/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spacing w:before="120"/>
              <w:ind w:left="318" w:hanging="318"/>
              <w:rPr>
                <w:szCs w:val="22"/>
                <w:lang w:val="pt-BR"/>
              </w:rPr>
            </w:pPr>
            <w:r w:rsidRPr="00032A00">
              <w:rPr>
                <w:szCs w:val="22"/>
                <w:lang w:val="pt-BR"/>
              </w:rPr>
              <w:t>Prazo / qualidade do elemento não serão cumpridos.</w:t>
            </w:r>
          </w:p>
          <w:p w:rsidR="00314446" w:rsidRPr="00032A00" w:rsidRDefault="00314446" w:rsidP="00314446">
            <w:pPr>
              <w:pStyle w:val="StandardBlock"/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spacing w:before="120" w:after="120"/>
              <w:ind w:left="318" w:hanging="318"/>
              <w:rPr>
                <w:szCs w:val="22"/>
                <w:lang w:val="pt-BR"/>
              </w:rPr>
            </w:pPr>
            <w:r w:rsidRPr="00032A00">
              <w:rPr>
                <w:szCs w:val="22"/>
                <w:lang w:val="pt-BR"/>
              </w:rPr>
              <w:t>O início da produção seriada está em risco.</w:t>
            </w:r>
          </w:p>
          <w:p w:rsidR="00314446" w:rsidRPr="00032A00" w:rsidRDefault="00314446" w:rsidP="00314446">
            <w:pPr>
              <w:pStyle w:val="StandardBlock"/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spacing w:before="120" w:after="120"/>
              <w:ind w:left="318" w:hanging="318"/>
              <w:rPr>
                <w:szCs w:val="22"/>
                <w:lang w:val="pt-BR"/>
              </w:rPr>
            </w:pPr>
            <w:r w:rsidRPr="00032A00">
              <w:rPr>
                <w:szCs w:val="22"/>
                <w:lang w:val="pt-BR"/>
              </w:rPr>
              <w:t>As ações corretivas apropriadas e os responsáveis devem ser definidos e coordenados com o cliente.</w:t>
            </w:r>
          </w:p>
        </w:tc>
      </w:tr>
    </w:tbl>
    <w:p w:rsidR="00314446" w:rsidRPr="00032A00" w:rsidRDefault="00314446" w:rsidP="00314446">
      <w:pPr>
        <w:pStyle w:val="Ttulo1"/>
        <w:rPr>
          <w:lang w:val="pt-BR"/>
        </w:rPr>
      </w:pPr>
      <w:r w:rsidRPr="00032A00">
        <w:rPr>
          <w:lang w:val="pt-BR"/>
        </w:rPr>
        <w:t>Processo de Desenvolvimento de Produto</w:t>
      </w:r>
    </w:p>
    <w:p w:rsidR="00314446" w:rsidRPr="00032A00" w:rsidRDefault="00314446" w:rsidP="00314446">
      <w:pPr>
        <w:pStyle w:val="StandardBlock"/>
        <w:rPr>
          <w:lang w:val="pt-BR"/>
        </w:rPr>
      </w:pPr>
      <w:r w:rsidRPr="00032A00">
        <w:rPr>
          <w:lang w:val="pt-BR"/>
        </w:rPr>
        <w:t xml:space="preserve">O Processo de Desenvolvimento do Produto (PEP) </w:t>
      </w:r>
      <w:r w:rsidRPr="00032A00">
        <w:rPr>
          <w:color w:val="008000"/>
          <w:lang w:val="pt-BR"/>
        </w:rPr>
        <w:t>do cliente</w:t>
      </w:r>
      <w:r w:rsidRPr="00032A00">
        <w:rPr>
          <w:lang w:val="pt-BR"/>
        </w:rPr>
        <w:t xml:space="preserve"> consiste de fases sequenciais, separadas por marcadores de tempo. Ao atingir um marcador, o status atual do projeto é verificado. Se necessário, são estipuladas atividades adicionais.</w:t>
      </w:r>
    </w:p>
    <w:p w:rsidR="00314446" w:rsidRPr="00032A00" w:rsidRDefault="00314446" w:rsidP="00314446">
      <w:pPr>
        <w:pStyle w:val="StandardBlock"/>
        <w:spacing w:before="80"/>
        <w:rPr>
          <w:lang w:val="pt-BR"/>
        </w:rPr>
      </w:pPr>
      <w:r w:rsidRPr="00032A00">
        <w:rPr>
          <w:lang w:val="pt-BR"/>
        </w:rPr>
        <w:t xml:space="preserve">O procedimento proposto pelo cliente é mostrado no </w:t>
      </w:r>
      <w:r w:rsidRPr="00032A00">
        <w:rPr>
          <w:i/>
          <w:lang w:val="pt-BR"/>
        </w:rPr>
        <w:t xml:space="preserve">Anexo 1 </w:t>
      </w:r>
      <w:r w:rsidRPr="00032A00">
        <w:rPr>
          <w:lang w:val="pt-BR"/>
        </w:rPr>
        <w:t xml:space="preserve"> e forma a base para o processamento conjunto e estruturado do projeto. </w:t>
      </w:r>
    </w:p>
    <w:p w:rsidR="00314446" w:rsidRPr="00032A00" w:rsidRDefault="00314446" w:rsidP="00314446">
      <w:pPr>
        <w:pStyle w:val="StandardBlock"/>
        <w:spacing w:before="80"/>
        <w:rPr>
          <w:lang w:val="pt-BR"/>
        </w:rPr>
      </w:pPr>
      <w:r w:rsidRPr="00032A00">
        <w:rPr>
          <w:lang w:val="pt-BR"/>
        </w:rPr>
        <w:t xml:space="preserve">Em casos específicos, por exemplo, em sistemas complexos ou quando requerido pelo cliente final, o cliente pode tomar como base o procedimento da </w:t>
      </w:r>
      <w:r w:rsidRPr="00032A00">
        <w:rPr>
          <w:i/>
          <w:lang w:val="pt-BR"/>
        </w:rPr>
        <w:t xml:space="preserve">VDA (Verband der Automobilindustrie) </w:t>
      </w:r>
      <w:r w:rsidRPr="00032A00">
        <w:rPr>
          <w:lang w:val="pt-BR"/>
        </w:rPr>
        <w:t xml:space="preserve"> "Garantia do grau de maturidade para peças novas" e combinar este com o fornecedor. </w:t>
      </w:r>
    </w:p>
    <w:p w:rsidR="00314446" w:rsidRPr="00032A00" w:rsidRDefault="00314446" w:rsidP="00314446">
      <w:pPr>
        <w:pStyle w:val="Ttulo1"/>
        <w:pageBreakBefore/>
        <w:rPr>
          <w:lang w:val="pt-BR"/>
        </w:rPr>
      </w:pPr>
      <w:bookmarkStart w:id="1" w:name="_Toc183486469"/>
      <w:r w:rsidRPr="00032A00">
        <w:rPr>
          <w:lang w:val="pt-BR"/>
        </w:rPr>
        <w:lastRenderedPageBreak/>
        <w:t>Normas citadas</w:t>
      </w:r>
      <w:bookmarkEnd w:id="1"/>
    </w:p>
    <w:p w:rsidR="00314446" w:rsidRPr="00032A00" w:rsidRDefault="00314446" w:rsidP="00314446">
      <w:pPr>
        <w:tabs>
          <w:tab w:val="clear" w:pos="2552"/>
          <w:tab w:val="left" w:pos="2880"/>
        </w:tabs>
        <w:rPr>
          <w:sz w:val="22"/>
          <w:szCs w:val="22"/>
          <w:lang w:val="pt-BR"/>
        </w:rPr>
      </w:pPr>
      <w:r w:rsidRPr="00032A00">
        <w:rPr>
          <w:b/>
          <w:sz w:val="22"/>
          <w:szCs w:val="22"/>
          <w:lang w:val="pt-BR"/>
        </w:rPr>
        <w:t xml:space="preserve">Anexos pertinentes à S 296001-1 </w:t>
      </w:r>
      <w:r w:rsidRPr="00032A00">
        <w:rPr>
          <w:lang w:val="pt-BR"/>
        </w:rPr>
        <w:br/>
      </w:r>
      <w:r w:rsidRPr="00032A00">
        <w:rPr>
          <w:sz w:val="22"/>
          <w:szCs w:val="22"/>
          <w:lang w:val="pt-BR"/>
        </w:rPr>
        <w:t xml:space="preserve"> (ver </w:t>
      </w:r>
      <w:r w:rsidRPr="00032A00">
        <w:rPr>
          <w:i/>
          <w:sz w:val="22"/>
          <w:szCs w:val="22"/>
          <w:lang w:val="pt-BR"/>
        </w:rPr>
        <w:t>www.Schaeffler.</w:t>
      </w:r>
      <w:r w:rsidR="00CF4A5C">
        <w:rPr>
          <w:i/>
          <w:sz w:val="22"/>
          <w:szCs w:val="22"/>
          <w:lang w:val="pt-BR"/>
        </w:rPr>
        <w:t>com.br</w:t>
      </w:r>
      <w:r w:rsidRPr="00032A00">
        <w:rPr>
          <w:i/>
          <w:sz w:val="22"/>
          <w:szCs w:val="22"/>
          <w:lang w:val="pt-BR"/>
        </w:rPr>
        <w:t xml:space="preserve"> / </w:t>
      </w:r>
      <w:r w:rsidR="00CF4A5C">
        <w:rPr>
          <w:i/>
          <w:sz w:val="22"/>
          <w:szCs w:val="22"/>
          <w:lang w:val="pt-BR"/>
        </w:rPr>
        <w:t>fornecedores</w:t>
      </w:r>
      <w:r w:rsidRPr="00032A00">
        <w:rPr>
          <w:i/>
          <w:sz w:val="22"/>
          <w:szCs w:val="22"/>
          <w:lang w:val="pt-BR"/>
        </w:rPr>
        <w:t xml:space="preserve"> / Quali</w:t>
      </w:r>
      <w:r w:rsidR="00CF4A5C">
        <w:rPr>
          <w:i/>
          <w:sz w:val="22"/>
          <w:szCs w:val="22"/>
          <w:lang w:val="pt-BR"/>
        </w:rPr>
        <w:t xml:space="preserve">dade </w:t>
      </w:r>
      <w:r w:rsidRPr="00032A00">
        <w:rPr>
          <w:sz w:val="22"/>
          <w:szCs w:val="22"/>
          <w:lang w:val="pt-BR"/>
        </w:rPr>
        <w:t>)</w:t>
      </w:r>
    </w:p>
    <w:p w:rsidR="00314446" w:rsidRPr="00032A00" w:rsidRDefault="00314446" w:rsidP="00314446">
      <w:pPr>
        <w:tabs>
          <w:tab w:val="clear" w:pos="2552"/>
          <w:tab w:val="left" w:pos="2340"/>
        </w:tabs>
        <w:spacing w:before="60"/>
        <w:rPr>
          <w:i/>
          <w:sz w:val="22"/>
          <w:szCs w:val="22"/>
          <w:lang w:val="pt-BR"/>
        </w:rPr>
      </w:pPr>
      <w:r w:rsidRPr="00032A00">
        <w:rPr>
          <w:i/>
          <w:sz w:val="22"/>
          <w:szCs w:val="22"/>
          <w:lang w:val="pt-BR"/>
        </w:rPr>
        <w:t xml:space="preserve">Anexo 1: </w:t>
      </w:r>
      <w:r w:rsidRPr="00032A00">
        <w:rPr>
          <w:i/>
          <w:sz w:val="22"/>
          <w:szCs w:val="22"/>
          <w:lang w:val="pt-BR"/>
        </w:rPr>
        <w:tab/>
        <w:t>Processo de Desenvolvimento de Produto</w:t>
      </w:r>
    </w:p>
    <w:p w:rsidR="00314446" w:rsidRPr="00032A00" w:rsidRDefault="00314446" w:rsidP="00314446">
      <w:pPr>
        <w:tabs>
          <w:tab w:val="clear" w:pos="2552"/>
          <w:tab w:val="left" w:pos="2340"/>
        </w:tabs>
        <w:rPr>
          <w:i/>
          <w:sz w:val="22"/>
          <w:szCs w:val="22"/>
          <w:lang w:val="pt-BR"/>
        </w:rPr>
      </w:pPr>
      <w:r w:rsidRPr="00032A00">
        <w:rPr>
          <w:i/>
          <w:sz w:val="22"/>
          <w:szCs w:val="22"/>
          <w:lang w:val="pt-BR"/>
        </w:rPr>
        <w:t xml:space="preserve">Anexo 2: </w:t>
      </w:r>
      <w:r w:rsidRPr="00032A00">
        <w:rPr>
          <w:i/>
          <w:sz w:val="22"/>
          <w:szCs w:val="22"/>
          <w:lang w:val="pt-BR"/>
        </w:rPr>
        <w:tab/>
        <w:t xml:space="preserve">Elementos APQP </w:t>
      </w:r>
    </w:p>
    <w:p w:rsidR="00314446" w:rsidRPr="00032A00" w:rsidRDefault="00314446" w:rsidP="00314446">
      <w:pPr>
        <w:tabs>
          <w:tab w:val="clear" w:pos="2552"/>
          <w:tab w:val="left" w:pos="2340"/>
        </w:tabs>
        <w:rPr>
          <w:i/>
          <w:sz w:val="22"/>
          <w:szCs w:val="22"/>
          <w:lang w:val="pt-BR"/>
        </w:rPr>
      </w:pPr>
      <w:r w:rsidRPr="00032A00">
        <w:rPr>
          <w:i/>
          <w:sz w:val="22"/>
          <w:szCs w:val="22"/>
          <w:lang w:val="pt-BR"/>
        </w:rPr>
        <w:t xml:space="preserve">Anexo 3: </w:t>
      </w:r>
      <w:r w:rsidRPr="00032A00">
        <w:rPr>
          <w:i/>
          <w:sz w:val="22"/>
          <w:szCs w:val="22"/>
          <w:lang w:val="pt-BR"/>
        </w:rPr>
        <w:tab/>
        <w:t>APQP Status Report</w:t>
      </w:r>
    </w:p>
    <w:p w:rsidR="00314446" w:rsidRPr="00032A00" w:rsidRDefault="00314446" w:rsidP="00314446">
      <w:pPr>
        <w:tabs>
          <w:tab w:val="clear" w:pos="2552"/>
          <w:tab w:val="left" w:pos="2340"/>
        </w:tabs>
        <w:rPr>
          <w:i/>
          <w:sz w:val="22"/>
          <w:szCs w:val="22"/>
          <w:lang w:val="pt-BR"/>
        </w:rPr>
      </w:pPr>
      <w:r w:rsidRPr="00032A00">
        <w:rPr>
          <w:i/>
          <w:sz w:val="22"/>
          <w:szCs w:val="22"/>
          <w:lang w:val="pt-BR"/>
        </w:rPr>
        <w:t xml:space="preserve">Anexo 4: </w:t>
      </w:r>
      <w:r w:rsidRPr="00032A00">
        <w:rPr>
          <w:i/>
          <w:sz w:val="22"/>
          <w:szCs w:val="22"/>
          <w:lang w:val="pt-BR"/>
        </w:rPr>
        <w:tab/>
      </w:r>
      <w:r w:rsidRPr="00032A00">
        <w:rPr>
          <w:i/>
          <w:color w:val="008000"/>
          <w:sz w:val="22"/>
          <w:szCs w:val="22"/>
          <w:lang w:val="pt-BR"/>
        </w:rPr>
        <w:t>Avaliação</w:t>
      </w:r>
      <w:r w:rsidRPr="00032A00">
        <w:rPr>
          <w:i/>
          <w:sz w:val="22"/>
          <w:szCs w:val="22"/>
          <w:lang w:val="pt-BR"/>
        </w:rPr>
        <w:t xml:space="preserve"> da fabricabilidade</w:t>
      </w:r>
    </w:p>
    <w:p w:rsidR="00314446" w:rsidRPr="00032A00" w:rsidRDefault="00314446" w:rsidP="00314446">
      <w:pPr>
        <w:tabs>
          <w:tab w:val="clear" w:pos="2552"/>
          <w:tab w:val="left" w:pos="2340"/>
        </w:tabs>
        <w:rPr>
          <w:sz w:val="22"/>
          <w:szCs w:val="22"/>
          <w:lang w:val="pt-BR"/>
        </w:rPr>
      </w:pPr>
      <w:r w:rsidRPr="00032A00">
        <w:rPr>
          <w:i/>
          <w:sz w:val="22"/>
          <w:szCs w:val="22"/>
          <w:lang w:val="pt-BR"/>
        </w:rPr>
        <w:t xml:space="preserve">Anexo 5: </w:t>
      </w:r>
      <w:r w:rsidRPr="00032A00">
        <w:rPr>
          <w:i/>
          <w:sz w:val="22"/>
          <w:szCs w:val="22"/>
          <w:lang w:val="pt-BR"/>
        </w:rPr>
        <w:tab/>
        <w:t>Confirmação da capacidade</w:t>
      </w:r>
      <w:r w:rsidRPr="00032A00">
        <w:rPr>
          <w:lang w:val="pt-BR"/>
        </w:rPr>
        <w:br/>
      </w:r>
    </w:p>
    <w:p w:rsidR="00314446" w:rsidRPr="00032A00" w:rsidRDefault="00314446" w:rsidP="00314446">
      <w:pPr>
        <w:tabs>
          <w:tab w:val="clear" w:pos="2552"/>
          <w:tab w:val="clear" w:pos="4536"/>
          <w:tab w:val="left" w:pos="1418"/>
          <w:tab w:val="left" w:pos="2268"/>
        </w:tabs>
        <w:rPr>
          <w:b/>
          <w:sz w:val="22"/>
          <w:szCs w:val="22"/>
          <w:lang w:val="pt-BR"/>
        </w:rPr>
      </w:pPr>
      <w:r w:rsidRPr="00032A00">
        <w:rPr>
          <w:b/>
          <w:sz w:val="22"/>
          <w:szCs w:val="22"/>
          <w:lang w:val="pt-BR"/>
        </w:rPr>
        <w:t xml:space="preserve">Normas pertinentes </w:t>
      </w:r>
      <w:r w:rsidRPr="00032A00">
        <w:rPr>
          <w:color w:val="008000"/>
          <w:sz w:val="22"/>
          <w:szCs w:val="22"/>
          <w:lang w:val="pt-BR"/>
        </w:rPr>
        <w:t xml:space="preserve">(citadas no </w:t>
      </w:r>
      <w:r w:rsidRPr="00032A00">
        <w:rPr>
          <w:i/>
          <w:color w:val="008000"/>
          <w:sz w:val="22"/>
          <w:szCs w:val="22"/>
          <w:lang w:val="pt-BR"/>
        </w:rPr>
        <w:t>Anexo 2 - Elementos APQP</w:t>
      </w:r>
      <w:r w:rsidRPr="00032A00">
        <w:rPr>
          <w:color w:val="008000"/>
          <w:sz w:val="22"/>
          <w:szCs w:val="22"/>
          <w:lang w:val="pt-BR"/>
        </w:rPr>
        <w:t>)</w:t>
      </w:r>
      <w:r w:rsidRPr="00032A00">
        <w:rPr>
          <w:b/>
          <w:sz w:val="22"/>
          <w:szCs w:val="22"/>
          <w:lang w:val="pt-BR"/>
        </w:rPr>
        <w:t xml:space="preserve"> </w:t>
      </w:r>
    </w:p>
    <w:p w:rsidR="00314446" w:rsidRPr="00032A00" w:rsidRDefault="00314446" w:rsidP="00314446">
      <w:pPr>
        <w:tabs>
          <w:tab w:val="clear" w:pos="2552"/>
          <w:tab w:val="clear" w:pos="4536"/>
          <w:tab w:val="left" w:pos="1418"/>
          <w:tab w:val="left" w:pos="2268"/>
        </w:tabs>
        <w:spacing w:before="60"/>
        <w:rPr>
          <w:sz w:val="22"/>
          <w:szCs w:val="22"/>
          <w:lang w:val="pt-BR"/>
        </w:rPr>
      </w:pPr>
      <w:r w:rsidRPr="00032A00">
        <w:rPr>
          <w:sz w:val="22"/>
          <w:szCs w:val="22"/>
          <w:lang w:val="pt-BR"/>
        </w:rPr>
        <w:t>Normas específicas do cliente:</w:t>
      </w:r>
    </w:p>
    <w:p w:rsidR="00314446" w:rsidRPr="00032A00" w:rsidRDefault="00314446" w:rsidP="00314446">
      <w:pPr>
        <w:tabs>
          <w:tab w:val="clear" w:pos="2552"/>
          <w:tab w:val="clear" w:pos="4536"/>
          <w:tab w:val="left" w:pos="1418"/>
          <w:tab w:val="left" w:pos="2268"/>
        </w:tabs>
        <w:spacing w:before="60"/>
        <w:rPr>
          <w:i/>
          <w:color w:val="008000"/>
          <w:sz w:val="22"/>
          <w:szCs w:val="22"/>
          <w:lang w:val="pt-BR"/>
        </w:rPr>
      </w:pPr>
      <w:r w:rsidRPr="00032A00">
        <w:rPr>
          <w:i/>
          <w:sz w:val="22"/>
          <w:szCs w:val="22"/>
          <w:lang w:val="pt-BR"/>
        </w:rPr>
        <w:t xml:space="preserve">S 102012-1 </w:t>
      </w:r>
      <w:r w:rsidRPr="00032A00">
        <w:rPr>
          <w:i/>
          <w:sz w:val="22"/>
          <w:szCs w:val="22"/>
          <w:lang w:val="pt-BR"/>
        </w:rPr>
        <w:tab/>
      </w:r>
      <w:r w:rsidRPr="00032A00">
        <w:rPr>
          <w:i/>
          <w:sz w:val="22"/>
          <w:szCs w:val="22"/>
          <w:lang w:val="pt-BR"/>
        </w:rPr>
        <w:tab/>
      </w:r>
      <w:r w:rsidRPr="00032A00">
        <w:rPr>
          <w:i/>
          <w:color w:val="008000"/>
          <w:sz w:val="22"/>
          <w:szCs w:val="22"/>
          <w:lang w:val="pt-BR"/>
        </w:rPr>
        <w:t xml:space="preserve">Desenhos técnicos; Classificação de características / </w:t>
      </w:r>
      <w:r w:rsidRPr="00032A00">
        <w:rPr>
          <w:i/>
          <w:sz w:val="22"/>
          <w:szCs w:val="22"/>
          <w:lang w:val="pt-BR"/>
        </w:rPr>
        <w:t xml:space="preserve">Arquivamento </w:t>
      </w:r>
      <w:r w:rsidRPr="00032A00">
        <w:rPr>
          <w:i/>
          <w:sz w:val="22"/>
          <w:szCs w:val="22"/>
          <w:lang w:val="pt-BR"/>
        </w:rPr>
        <w:tab/>
      </w:r>
      <w:r w:rsidRPr="00032A00">
        <w:rPr>
          <w:i/>
          <w:sz w:val="22"/>
          <w:szCs w:val="22"/>
          <w:lang w:val="pt-BR"/>
        </w:rPr>
        <w:tab/>
      </w:r>
      <w:r w:rsidRPr="00032A00">
        <w:rPr>
          <w:i/>
          <w:sz w:val="22"/>
          <w:szCs w:val="22"/>
          <w:lang w:val="pt-BR"/>
        </w:rPr>
        <w:tab/>
        <w:t>especial</w:t>
      </w:r>
      <w:r w:rsidRPr="00032A00">
        <w:rPr>
          <w:lang w:val="pt-BR"/>
        </w:rPr>
        <w:br/>
      </w:r>
      <w:r w:rsidRPr="00032A00">
        <w:rPr>
          <w:i/>
          <w:color w:val="008000"/>
          <w:sz w:val="22"/>
          <w:szCs w:val="22"/>
          <w:lang w:val="pt-BR"/>
        </w:rPr>
        <w:t>S 296001-2</w:t>
      </w:r>
      <w:r w:rsidRPr="00032A00">
        <w:rPr>
          <w:i/>
          <w:color w:val="008000"/>
          <w:sz w:val="22"/>
          <w:szCs w:val="22"/>
          <w:lang w:val="pt-BR"/>
        </w:rPr>
        <w:tab/>
      </w:r>
      <w:r w:rsidRPr="00032A00">
        <w:rPr>
          <w:i/>
          <w:color w:val="008000"/>
          <w:sz w:val="22"/>
          <w:szCs w:val="22"/>
          <w:lang w:val="pt-BR"/>
        </w:rPr>
        <w:tab/>
        <w:t xml:space="preserve">Acordo de Qualidade Assegurada com Fornecedores de Materiais de </w:t>
      </w:r>
      <w:r w:rsidR="007E4FA7">
        <w:rPr>
          <w:i/>
          <w:color w:val="008000"/>
          <w:sz w:val="22"/>
          <w:szCs w:val="22"/>
          <w:lang w:val="pt-BR"/>
        </w:rPr>
        <w:tab/>
      </w:r>
      <w:r w:rsidR="007E4FA7">
        <w:rPr>
          <w:i/>
          <w:color w:val="008000"/>
          <w:sz w:val="22"/>
          <w:szCs w:val="22"/>
          <w:lang w:val="pt-BR"/>
        </w:rPr>
        <w:tab/>
      </w:r>
      <w:r w:rsidR="007E4FA7">
        <w:rPr>
          <w:i/>
          <w:color w:val="008000"/>
          <w:sz w:val="22"/>
          <w:szCs w:val="22"/>
          <w:lang w:val="pt-BR"/>
        </w:rPr>
        <w:tab/>
      </w:r>
      <w:r w:rsidRPr="00032A00">
        <w:rPr>
          <w:i/>
          <w:color w:val="008000"/>
          <w:sz w:val="22"/>
          <w:szCs w:val="22"/>
          <w:lang w:val="pt-BR"/>
        </w:rPr>
        <w:t xml:space="preserve">Produção; </w:t>
      </w:r>
      <w:r w:rsidRPr="00032A00">
        <w:rPr>
          <w:lang w:val="pt-BR"/>
        </w:rPr>
        <w:br/>
      </w:r>
      <w:r w:rsidRPr="00032A00">
        <w:rPr>
          <w:i/>
          <w:color w:val="008000"/>
          <w:sz w:val="22"/>
          <w:szCs w:val="22"/>
          <w:lang w:val="pt-BR"/>
        </w:rPr>
        <w:tab/>
      </w:r>
      <w:r w:rsidRPr="00032A00">
        <w:rPr>
          <w:i/>
          <w:color w:val="008000"/>
          <w:sz w:val="22"/>
          <w:szCs w:val="22"/>
          <w:lang w:val="pt-BR"/>
        </w:rPr>
        <w:tab/>
        <w:t>Método de liberação de processo e produto</w:t>
      </w:r>
    </w:p>
    <w:p w:rsidR="00314446" w:rsidRPr="00032A00" w:rsidRDefault="00314446" w:rsidP="00314446">
      <w:pPr>
        <w:tabs>
          <w:tab w:val="clear" w:pos="2552"/>
          <w:tab w:val="clear" w:pos="4536"/>
          <w:tab w:val="left" w:pos="1418"/>
          <w:tab w:val="left" w:pos="2268"/>
        </w:tabs>
        <w:spacing w:before="60"/>
        <w:rPr>
          <w:i/>
          <w:color w:val="008000"/>
          <w:sz w:val="22"/>
          <w:szCs w:val="22"/>
          <w:lang w:val="pt-BR"/>
        </w:rPr>
      </w:pPr>
    </w:p>
    <w:sectPr w:rsidR="00314446" w:rsidRPr="00032A00" w:rsidSect="0031444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 w:code="9"/>
      <w:pgMar w:top="380" w:right="1133" w:bottom="630" w:left="1134" w:header="629" w:footer="5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194" w:rsidRDefault="00282194">
      <w:r>
        <w:separator/>
      </w:r>
    </w:p>
  </w:endnote>
  <w:endnote w:type="continuationSeparator" w:id="0">
    <w:p w:rsidR="00282194" w:rsidRDefault="0028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446" w:rsidRPr="000F268A" w:rsidRDefault="00314446">
    <w:pPr>
      <w:pStyle w:val="Cabealho"/>
      <w:tabs>
        <w:tab w:val="clear" w:pos="9072"/>
        <w:tab w:val="left" w:pos="4536"/>
      </w:tabs>
      <w:rPr>
        <w:sz w:val="2"/>
        <w:szCs w:val="2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3331"/>
      <w:gridCol w:w="3331"/>
    </w:tblGrid>
    <w:tr w:rsidR="00314446" w:rsidRPr="007E4FA7" w:rsidTr="00314446">
      <w:tc>
        <w:tcPr>
          <w:tcW w:w="3331" w:type="dxa"/>
        </w:tcPr>
        <w:p w:rsidR="00314446" w:rsidRPr="007E4FA7" w:rsidRDefault="00314446">
          <w:pPr>
            <w:pStyle w:val="Cabealho"/>
            <w:tabs>
              <w:tab w:val="clear" w:pos="2552"/>
              <w:tab w:val="clear" w:pos="4536"/>
              <w:tab w:val="clear" w:pos="6804"/>
              <w:tab w:val="right" w:pos="10206"/>
            </w:tabs>
            <w:rPr>
              <w:noProof/>
              <w:color w:val="008000"/>
              <w:sz w:val="16"/>
              <w:szCs w:val="16"/>
              <w:lang w:val="pt-BR"/>
            </w:rPr>
          </w:pPr>
          <w:r w:rsidRPr="007E4FA7">
            <w:rPr>
              <w:noProof/>
              <w:color w:val="008000"/>
              <w:sz w:val="16"/>
              <w:szCs w:val="16"/>
              <w:lang w:val="pt-BR"/>
            </w:rPr>
            <w:t>Acordo de Qualidade Assegurada com Fornecedores de Materiais de Produção; Planejamento Avançado da Qualidade</w:t>
          </w:r>
        </w:p>
      </w:tc>
      <w:tc>
        <w:tcPr>
          <w:tcW w:w="3331" w:type="dxa"/>
        </w:tcPr>
        <w:p w:rsidR="00314446" w:rsidRPr="007E4FA7" w:rsidRDefault="00314446">
          <w:pPr>
            <w:pStyle w:val="Cabealho"/>
            <w:tabs>
              <w:tab w:val="clear" w:pos="2552"/>
              <w:tab w:val="clear" w:pos="4536"/>
              <w:tab w:val="clear" w:pos="6804"/>
              <w:tab w:val="right" w:pos="10206"/>
            </w:tabs>
            <w:jc w:val="center"/>
            <w:rPr>
              <w:noProof/>
              <w:sz w:val="16"/>
              <w:szCs w:val="16"/>
              <w:lang w:val="pt-BR"/>
            </w:rPr>
          </w:pPr>
          <w:r w:rsidRPr="007E4FA7">
            <w:rPr>
              <w:noProof/>
              <w:snapToGrid w:val="0"/>
              <w:sz w:val="16"/>
              <w:szCs w:val="16"/>
              <w:lang w:val="pt-BR"/>
            </w:rPr>
            <w:t xml:space="preserve">Página </w:t>
          </w:r>
          <w:r w:rsidR="00EA60D6" w:rsidRPr="007E4FA7">
            <w:rPr>
              <w:noProof/>
              <w:snapToGrid w:val="0"/>
              <w:sz w:val="16"/>
              <w:szCs w:val="16"/>
              <w:lang w:val="pt-BR"/>
            </w:rPr>
            <w:fldChar w:fldCharType="begin"/>
          </w:r>
          <w:r w:rsidRPr="007E4FA7">
            <w:rPr>
              <w:noProof/>
              <w:snapToGrid w:val="0"/>
              <w:sz w:val="16"/>
              <w:szCs w:val="16"/>
              <w:lang w:val="pt-BR"/>
            </w:rPr>
            <w:instrText xml:space="preserve"> PAGE </w:instrText>
          </w:r>
          <w:r w:rsidR="00EA60D6" w:rsidRPr="007E4FA7">
            <w:rPr>
              <w:noProof/>
              <w:snapToGrid w:val="0"/>
              <w:sz w:val="16"/>
              <w:szCs w:val="16"/>
              <w:lang w:val="pt-BR"/>
            </w:rPr>
            <w:fldChar w:fldCharType="separate"/>
          </w:r>
          <w:r w:rsidR="00E24E97">
            <w:rPr>
              <w:noProof/>
              <w:snapToGrid w:val="0"/>
              <w:sz w:val="16"/>
              <w:szCs w:val="16"/>
              <w:lang w:val="pt-BR"/>
            </w:rPr>
            <w:t>1</w:t>
          </w:r>
          <w:r w:rsidR="00EA60D6" w:rsidRPr="007E4FA7">
            <w:rPr>
              <w:noProof/>
              <w:snapToGrid w:val="0"/>
              <w:sz w:val="16"/>
              <w:szCs w:val="16"/>
              <w:lang w:val="pt-BR"/>
            </w:rPr>
            <w:fldChar w:fldCharType="end"/>
          </w:r>
          <w:r w:rsidRPr="007E4FA7">
            <w:rPr>
              <w:noProof/>
              <w:snapToGrid w:val="0"/>
              <w:sz w:val="16"/>
              <w:szCs w:val="16"/>
              <w:lang w:val="pt-BR"/>
            </w:rPr>
            <w:t xml:space="preserve"> de </w:t>
          </w:r>
          <w:r w:rsidR="00EA60D6" w:rsidRPr="007E4FA7">
            <w:rPr>
              <w:noProof/>
              <w:snapToGrid w:val="0"/>
              <w:sz w:val="16"/>
              <w:szCs w:val="16"/>
              <w:lang w:val="pt-BR"/>
            </w:rPr>
            <w:fldChar w:fldCharType="begin"/>
          </w:r>
          <w:r w:rsidRPr="007E4FA7">
            <w:rPr>
              <w:noProof/>
              <w:snapToGrid w:val="0"/>
              <w:sz w:val="16"/>
              <w:szCs w:val="16"/>
              <w:lang w:val="pt-BR"/>
            </w:rPr>
            <w:instrText xml:space="preserve"> NUMPAGES </w:instrText>
          </w:r>
          <w:r w:rsidR="00EA60D6" w:rsidRPr="007E4FA7">
            <w:rPr>
              <w:noProof/>
              <w:snapToGrid w:val="0"/>
              <w:sz w:val="16"/>
              <w:szCs w:val="16"/>
              <w:lang w:val="pt-BR"/>
            </w:rPr>
            <w:fldChar w:fldCharType="separate"/>
          </w:r>
          <w:r w:rsidR="00E24E97">
            <w:rPr>
              <w:noProof/>
              <w:snapToGrid w:val="0"/>
              <w:sz w:val="16"/>
              <w:szCs w:val="16"/>
              <w:lang w:val="pt-BR"/>
            </w:rPr>
            <w:t>4</w:t>
          </w:r>
          <w:r w:rsidR="00EA60D6" w:rsidRPr="007E4FA7">
            <w:rPr>
              <w:noProof/>
              <w:snapToGrid w:val="0"/>
              <w:sz w:val="16"/>
              <w:szCs w:val="16"/>
              <w:lang w:val="pt-BR"/>
            </w:rPr>
            <w:fldChar w:fldCharType="end"/>
          </w:r>
        </w:p>
      </w:tc>
      <w:tc>
        <w:tcPr>
          <w:tcW w:w="3331" w:type="dxa"/>
        </w:tcPr>
        <w:p w:rsidR="00314446" w:rsidRPr="007E4FA7" w:rsidRDefault="00314446" w:rsidP="00314446">
          <w:pPr>
            <w:pStyle w:val="Cabealho"/>
            <w:tabs>
              <w:tab w:val="clear" w:pos="2552"/>
              <w:tab w:val="clear" w:pos="4536"/>
              <w:tab w:val="clear" w:pos="6804"/>
              <w:tab w:val="right" w:pos="10206"/>
            </w:tabs>
            <w:jc w:val="right"/>
            <w:rPr>
              <w:noProof/>
              <w:sz w:val="16"/>
              <w:szCs w:val="16"/>
              <w:lang w:val="pt-BR"/>
            </w:rPr>
          </w:pPr>
          <w:r w:rsidRPr="007E4FA7">
            <w:rPr>
              <w:noProof/>
              <w:sz w:val="16"/>
              <w:szCs w:val="16"/>
              <w:lang w:val="pt-BR"/>
            </w:rPr>
            <w:t xml:space="preserve">Edição: 2015-04-22 </w:t>
          </w:r>
        </w:p>
      </w:tc>
    </w:tr>
  </w:tbl>
  <w:p w:rsidR="00314446" w:rsidRDefault="00314446">
    <w:pPr>
      <w:pStyle w:val="Rodap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3331"/>
      <w:gridCol w:w="3331"/>
    </w:tblGrid>
    <w:tr w:rsidR="00314446">
      <w:tc>
        <w:tcPr>
          <w:tcW w:w="3331" w:type="dxa"/>
        </w:tcPr>
        <w:p w:rsidR="00314446" w:rsidRDefault="00314446">
          <w:pPr>
            <w:pStyle w:val="Cabealho"/>
            <w:tabs>
              <w:tab w:val="clear" w:pos="2552"/>
              <w:tab w:val="clear" w:pos="4536"/>
              <w:tab w:val="clear" w:pos="6804"/>
              <w:tab w:val="right" w:pos="10206"/>
            </w:tabs>
            <w:rPr>
              <w:sz w:val="18"/>
            </w:rPr>
          </w:pPr>
          <w:r>
            <w:rPr>
              <w:sz w:val="18"/>
            </w:rPr>
            <w:t>QN 6.1 / QA1.0012 / QSR08112431D</w:t>
          </w:r>
        </w:p>
      </w:tc>
      <w:tc>
        <w:tcPr>
          <w:tcW w:w="3331" w:type="dxa"/>
          <w:vAlign w:val="center"/>
        </w:tcPr>
        <w:p w:rsidR="00314446" w:rsidRDefault="00314446">
          <w:pPr>
            <w:pStyle w:val="Cabealho"/>
            <w:tabs>
              <w:tab w:val="clear" w:pos="2552"/>
              <w:tab w:val="clear" w:pos="4536"/>
              <w:tab w:val="clear" w:pos="6804"/>
              <w:tab w:val="right" w:pos="10206"/>
            </w:tabs>
            <w:jc w:val="center"/>
            <w:rPr>
              <w:sz w:val="18"/>
            </w:rPr>
          </w:pPr>
          <w:r>
            <w:rPr>
              <w:snapToGrid w:val="0"/>
              <w:sz w:val="18"/>
            </w:rPr>
            <w:t xml:space="preserve">Página </w:t>
          </w:r>
          <w:r w:rsidR="00EA60D6">
            <w:rPr>
              <w:snapToGrid w:val="0"/>
              <w:sz w:val="18"/>
            </w:rPr>
            <w:fldChar w:fldCharType="begin"/>
          </w:r>
          <w:r>
            <w:rPr>
              <w:snapToGrid w:val="0"/>
              <w:sz w:val="18"/>
            </w:rPr>
            <w:instrText xml:space="preserve"> PAGE </w:instrText>
          </w:r>
          <w:r w:rsidR="00EA60D6">
            <w:rPr>
              <w:snapToGrid w:val="0"/>
              <w:sz w:val="18"/>
            </w:rPr>
            <w:fldChar w:fldCharType="separate"/>
          </w:r>
          <w:r>
            <w:rPr>
              <w:snapToGrid w:val="0"/>
              <w:sz w:val="18"/>
            </w:rPr>
            <w:t>4</w:t>
          </w:r>
          <w:r w:rsidR="00EA60D6">
            <w:rPr>
              <w:snapToGrid w:val="0"/>
              <w:sz w:val="18"/>
            </w:rPr>
            <w:fldChar w:fldCharType="end"/>
          </w:r>
          <w:r>
            <w:rPr>
              <w:snapToGrid w:val="0"/>
              <w:sz w:val="18"/>
            </w:rPr>
            <w:t xml:space="preserve"> de </w:t>
          </w:r>
          <w:r w:rsidR="00EA60D6">
            <w:rPr>
              <w:snapToGrid w:val="0"/>
              <w:sz w:val="18"/>
            </w:rPr>
            <w:fldChar w:fldCharType="begin"/>
          </w:r>
          <w:r>
            <w:rPr>
              <w:snapToGrid w:val="0"/>
              <w:sz w:val="18"/>
            </w:rPr>
            <w:instrText xml:space="preserve"> NUMPAGES </w:instrText>
          </w:r>
          <w:r w:rsidR="00EA60D6">
            <w:rPr>
              <w:snapToGrid w:val="0"/>
              <w:sz w:val="18"/>
            </w:rPr>
            <w:fldChar w:fldCharType="separate"/>
          </w:r>
          <w:r>
            <w:rPr>
              <w:snapToGrid w:val="0"/>
              <w:sz w:val="18"/>
            </w:rPr>
            <w:t>4</w:t>
          </w:r>
          <w:r w:rsidR="00EA60D6">
            <w:rPr>
              <w:snapToGrid w:val="0"/>
              <w:sz w:val="18"/>
            </w:rPr>
            <w:fldChar w:fldCharType="end"/>
          </w:r>
        </w:p>
      </w:tc>
      <w:tc>
        <w:tcPr>
          <w:tcW w:w="3331" w:type="dxa"/>
          <w:vAlign w:val="center"/>
        </w:tcPr>
        <w:p w:rsidR="00314446" w:rsidRDefault="00314446">
          <w:pPr>
            <w:pStyle w:val="Cabealho"/>
            <w:tabs>
              <w:tab w:val="clear" w:pos="2552"/>
              <w:tab w:val="clear" w:pos="4536"/>
              <w:tab w:val="clear" w:pos="6804"/>
              <w:tab w:val="right" w:pos="10206"/>
            </w:tabs>
            <w:jc w:val="right"/>
            <w:rPr>
              <w:sz w:val="18"/>
            </w:rPr>
          </w:pPr>
          <w:r>
            <w:rPr>
              <w:sz w:val="18"/>
            </w:rPr>
            <w:t>Edição: Abril 2003</w:t>
          </w:r>
        </w:p>
      </w:tc>
    </w:tr>
  </w:tbl>
  <w:p w:rsidR="00314446" w:rsidRDefault="003144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194" w:rsidRDefault="00282194">
      <w:r>
        <w:separator/>
      </w:r>
    </w:p>
  </w:footnote>
  <w:footnote w:type="continuationSeparator" w:id="0">
    <w:p w:rsidR="00282194" w:rsidRDefault="00282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446" w:rsidRPr="00D10831" w:rsidRDefault="00314446">
    <w:pPr>
      <w:pStyle w:val="Cabealho"/>
      <w:rPr>
        <w:lang w:val="pt-BR"/>
      </w:rPr>
    </w:pPr>
    <w:r w:rsidRPr="00D10831">
      <w:rPr>
        <w:lang w:val="pt-BR"/>
      </w:rPr>
      <w:t xml:space="preserve">Página </w:t>
    </w:r>
    <w:r w:rsidR="00EA60D6">
      <w:fldChar w:fldCharType="begin"/>
    </w:r>
    <w:r w:rsidRPr="00D10831">
      <w:rPr>
        <w:lang w:val="pt-BR"/>
      </w:rPr>
      <w:instrText xml:space="preserve"> PAGE \* MERGEFORMAT </w:instrText>
    </w:r>
    <w:r w:rsidR="00EA60D6">
      <w:fldChar w:fldCharType="separate"/>
    </w:r>
    <w:r w:rsidRPr="00D10831">
      <w:rPr>
        <w:lang w:val="pt-BR"/>
      </w:rPr>
      <w:t>4</w:t>
    </w:r>
    <w:r w:rsidR="00EA60D6">
      <w:fldChar w:fldCharType="end"/>
    </w:r>
  </w:p>
  <w:p w:rsidR="00314446" w:rsidRDefault="00314446">
    <w:pPr>
      <w:tabs>
        <w:tab w:val="clear" w:pos="2552"/>
        <w:tab w:val="clear" w:pos="4536"/>
        <w:tab w:val="left" w:pos="1091"/>
        <w:tab w:val="left" w:pos="1276"/>
        <w:tab w:val="left" w:pos="1560"/>
      </w:tabs>
    </w:pPr>
    <w:r w:rsidRPr="00D10831">
      <w:rPr>
        <w:lang w:val="pt-BR"/>
      </w:rPr>
      <w:t xml:space="preserve">  Cabeçalho e capa, isto é, logotipos + documentos de referência, válidos para todas as páginas!  </w:t>
    </w:r>
    <w:r w:rsidR="00EA60D6">
      <w:fldChar w:fldCharType="begin"/>
    </w:r>
    <w:r w:rsidRPr="00D10831">
      <w:rPr>
        <w:lang w:val="pt-BR"/>
      </w:rPr>
      <w:instrText xml:space="preserve"> REF Datum \h </w:instrText>
    </w:r>
    <w:r w:rsidR="00EA60D6">
      <w:fldChar w:fldCharType="separate"/>
    </w:r>
    <w:r>
      <w:rPr>
        <w:b/>
        <w:bCs/>
      </w:rPr>
      <w:t>Fehler! Verweisquelle konnte nicht gefunden werden.</w:t>
    </w:r>
    <w:r w:rsidR="00EA60D6">
      <w:fldChar w:fldCharType="end"/>
    </w:r>
  </w:p>
  <w:p w:rsidR="00314446" w:rsidRDefault="003144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3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35"/>
    </w:tblGrid>
    <w:tr w:rsidR="00314446" w:rsidTr="00314446">
      <w:trPr>
        <w:trHeight w:val="360"/>
      </w:trPr>
      <w:tc>
        <w:tcPr>
          <w:tcW w:w="10135" w:type="dxa"/>
        </w:tcPr>
        <w:p w:rsidR="00314446" w:rsidRDefault="00EA044C" w:rsidP="00314446">
          <w:pPr>
            <w:pStyle w:val="Cabealho"/>
            <w:jc w:val="right"/>
          </w:pPr>
          <w:r>
            <w:rPr>
              <w:noProof/>
              <w:lang w:val="pt-BR" w:eastAsia="pt-B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-102870</wp:posOffset>
                </wp:positionH>
                <wp:positionV relativeFrom="page">
                  <wp:posOffset>-39370</wp:posOffset>
                </wp:positionV>
                <wp:extent cx="895350" cy="272415"/>
                <wp:effectExtent l="19050" t="0" r="0" b="0"/>
                <wp:wrapNone/>
                <wp:docPr id="11" name="LIF" descr="LuK_INA_FAG_Bz_100857_aaa_rgb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F" descr="LuK_INA_FAG_Bz_100857_aaa_rgb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pt-BR" w:eastAsia="pt-BR"/>
            </w:rPr>
            <w:drawing>
              <wp:anchor distT="0" distB="0" distL="114300" distR="114300" simplePos="0" relativeHeight="251657216" behindDoc="0" locked="0" layoutInCell="1" allowOverlap="0">
                <wp:simplePos x="0" y="0"/>
                <wp:positionH relativeFrom="page">
                  <wp:posOffset>5119370</wp:posOffset>
                </wp:positionH>
                <wp:positionV relativeFrom="page">
                  <wp:posOffset>-39370</wp:posOffset>
                </wp:positionV>
                <wp:extent cx="1252220" cy="140335"/>
                <wp:effectExtent l="19050" t="0" r="5080" b="0"/>
                <wp:wrapNone/>
                <wp:docPr id="12" name="Bild 11" descr="SCHAEFFLER_35mm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1" descr="SCHAEFFLER_35mm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2220" cy="140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314446" w:rsidRPr="00D10831" w:rsidTr="00314446">
      <w:trPr>
        <w:trHeight w:val="270"/>
      </w:trPr>
      <w:tc>
        <w:tcPr>
          <w:tcW w:w="10135" w:type="dxa"/>
          <w:vAlign w:val="center"/>
        </w:tcPr>
        <w:p w:rsidR="00314446" w:rsidRPr="00D10831" w:rsidRDefault="00314446" w:rsidP="00314446">
          <w:pPr>
            <w:pStyle w:val="Cabealho"/>
            <w:jc w:val="right"/>
            <w:rPr>
              <w:lang w:val="pt-BR"/>
            </w:rPr>
          </w:pPr>
          <w:r w:rsidRPr="00D10831">
            <w:rPr>
              <w:b/>
              <w:sz w:val="18"/>
              <w:szCs w:val="18"/>
              <w:lang w:val="pt-BR"/>
            </w:rPr>
            <w:t>Acordo de Qualidade Assegurada com Fornecedores de Materiais de Produção; Planejamento Avançado da Qualidade</w:t>
          </w:r>
        </w:p>
      </w:tc>
    </w:tr>
  </w:tbl>
  <w:p w:rsidR="00314446" w:rsidRPr="00D10831" w:rsidRDefault="00314446">
    <w:pPr>
      <w:pStyle w:val="Cabealho"/>
      <w:rPr>
        <w:lang w:val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16"/>
      <w:gridCol w:w="2977"/>
    </w:tblGrid>
    <w:tr w:rsidR="00314446">
      <w:trPr>
        <w:trHeight w:val="992"/>
      </w:trPr>
      <w:tc>
        <w:tcPr>
          <w:tcW w:w="7016" w:type="dxa"/>
          <w:tcBorders>
            <w:right w:val="nil"/>
          </w:tcBorders>
        </w:tcPr>
        <w:p w:rsidR="00314446" w:rsidRDefault="00E24E97">
          <w:pPr>
            <w:pStyle w:val="Cabealho"/>
            <w:rPr>
              <w:sz w:val="24"/>
            </w:rPr>
          </w:pPr>
          <w:r>
            <w:object w:dxaOrig="1440" w:dyaOrig="1440">
              <v:group id="_x0000_s2049" style="position:absolute;margin-left:354.75pt;margin-top:6.65pt;width:130.35pt;height:43.1pt;z-index:251654144" coordorigin="5040,4049" coordsize="640,199" wrapcoords="5271 0 5271 4267 129 5867 -129 5867 -129 17867 4371 21333 5271 21333 13114 21333 13114 17067 18771 17067 21600 15733 21600 7200 13114 4267 13114 0 5271 0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left:5205;top:4049;width:220;height:199">
                  <v:imagedata r:id="rId1" o:title=""/>
                </v:shape>
                <v:shape id="_x0000_s2051" type="#_x0000_t75" style="position:absolute;left:5438;top:4118;width:242;height:76">
                  <v:imagedata r:id="rId2" o:title="FAG Logo red P200 cmyk ZO"/>
                </v:shape>
                <v:shape id="_x0000_s2052" type="#_x0000_t75" style="position:absolute;left:5040;top:4105;width:153;height:109">
                  <v:imagedata r:id="rId3" o:title="Luk_Logo"/>
                </v:shape>
                <w10:anchorlock/>
              </v:group>
              <o:OLEObject Type="Embed" ProgID="MS_ClipArt_Gallery" ShapeID="_x0000_s2050" DrawAspect="Content" ObjectID="_1501657287" r:id="rId4"/>
            </w:object>
          </w:r>
        </w:p>
        <w:p w:rsidR="00314446" w:rsidRDefault="00314446">
          <w:pPr>
            <w:pStyle w:val="Titel2"/>
            <w:jc w:val="left"/>
            <w:rPr>
              <w:sz w:val="28"/>
            </w:rPr>
          </w:pPr>
        </w:p>
        <w:p w:rsidR="00314446" w:rsidRDefault="00314446">
          <w:pPr>
            <w:pStyle w:val="Cabealho"/>
          </w:pPr>
        </w:p>
        <w:p w:rsidR="00314446" w:rsidRDefault="00314446">
          <w:pPr>
            <w:pStyle w:val="Cabealho"/>
          </w:pPr>
        </w:p>
      </w:tc>
      <w:tc>
        <w:tcPr>
          <w:tcW w:w="2977" w:type="dxa"/>
          <w:tcBorders>
            <w:top w:val="nil"/>
            <w:left w:val="nil"/>
          </w:tcBorders>
        </w:tcPr>
        <w:p w:rsidR="00314446" w:rsidRDefault="00314446">
          <w:pPr>
            <w:pStyle w:val="Cabealho"/>
          </w:pPr>
        </w:p>
      </w:tc>
    </w:tr>
  </w:tbl>
  <w:p w:rsidR="00314446" w:rsidRDefault="003144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14773"/>
    <w:multiLevelType w:val="hybridMultilevel"/>
    <w:tmpl w:val="752CAA6C"/>
    <w:lvl w:ilvl="0" w:tplc="7B3C12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8F8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521A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2A2B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B6C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3A5C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68A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260A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0CB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72618"/>
    <w:multiLevelType w:val="hybridMultilevel"/>
    <w:tmpl w:val="4BA0A06E"/>
    <w:lvl w:ilvl="0" w:tplc="C95C6F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1025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98A7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606C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92B2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0E0B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484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D26A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A03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32560"/>
    <w:multiLevelType w:val="hybridMultilevel"/>
    <w:tmpl w:val="CD7CB7FE"/>
    <w:lvl w:ilvl="0" w:tplc="9760C0A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574587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6B800E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AE252B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2B2DA1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4AA311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592270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36060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658E01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0221FC"/>
    <w:multiLevelType w:val="hybridMultilevel"/>
    <w:tmpl w:val="280475DE"/>
    <w:lvl w:ilvl="0" w:tplc="64CAF0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310547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DDCF2B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C14696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3D4F7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0A8D5B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9DAEAE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C2214B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F5C72B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3719C0"/>
    <w:multiLevelType w:val="hybridMultilevel"/>
    <w:tmpl w:val="878445A8"/>
    <w:lvl w:ilvl="0" w:tplc="5E323E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0DE401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6D602D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815D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058018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D1855D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B0CB0C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1A066E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B647BD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5F3921"/>
    <w:multiLevelType w:val="hybridMultilevel"/>
    <w:tmpl w:val="FADA0922"/>
    <w:lvl w:ilvl="0" w:tplc="848C61A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7C0487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728305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CD0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956F33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C14DCC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038CE9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ECF3D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F8E61F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BE785E"/>
    <w:multiLevelType w:val="hybridMultilevel"/>
    <w:tmpl w:val="CCDA608A"/>
    <w:lvl w:ilvl="0" w:tplc="37D8EBB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52A72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C5AFFE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B840D7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20EC90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A16EE1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C0AAC8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3C48C6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11C863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DA6219"/>
    <w:multiLevelType w:val="hybridMultilevel"/>
    <w:tmpl w:val="33AA6FF4"/>
    <w:lvl w:ilvl="0" w:tplc="1E7E37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5836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02AA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9EDA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7447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0C5C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3692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84DD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F43D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112B4"/>
    <w:multiLevelType w:val="hybridMultilevel"/>
    <w:tmpl w:val="890ABE26"/>
    <w:lvl w:ilvl="0" w:tplc="1E1EC2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04AA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5C40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8215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24DC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620C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B6FF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022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04FA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D4110"/>
    <w:multiLevelType w:val="multilevel"/>
    <w:tmpl w:val="D796551E"/>
    <w:lvl w:ilvl="0">
      <w:start w:val="1"/>
      <w:numFmt w:val="decimal"/>
      <w:pStyle w:val="Ttulo1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Ttulo2"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5KvoIBeuPBgiUgrXhozDcWvtUjvniQLAKvsRm32QG8S5hryBJdfzZJqQkLMVsS8VuAbVHbmGaGouD5stc3XOQ==" w:salt="4dKo/LRrLyp0hOP0RxxD8w==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104D"/>
    <w:rsid w:val="00030E9A"/>
    <w:rsid w:val="00032A00"/>
    <w:rsid w:val="0021104D"/>
    <w:rsid w:val="00282194"/>
    <w:rsid w:val="00314446"/>
    <w:rsid w:val="005B2004"/>
    <w:rsid w:val="007E4FA7"/>
    <w:rsid w:val="00AC0256"/>
    <w:rsid w:val="00CF4A5C"/>
    <w:rsid w:val="00D10831"/>
    <w:rsid w:val="00D744ED"/>
    <w:rsid w:val="00E24E97"/>
    <w:rsid w:val="00EA044C"/>
    <w:rsid w:val="00EA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7472C90B-EFFF-4CB5-A87F-9D5B42A2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04D"/>
    <w:pPr>
      <w:tabs>
        <w:tab w:val="left" w:pos="2552"/>
        <w:tab w:val="left" w:pos="4536"/>
        <w:tab w:val="left" w:pos="6804"/>
      </w:tabs>
    </w:pPr>
    <w:rPr>
      <w:rFonts w:ascii="Arial" w:hAnsi="Arial"/>
      <w:lang w:val="de-DE" w:eastAsia="de-DE"/>
    </w:rPr>
  </w:style>
  <w:style w:type="paragraph" w:styleId="Ttulo1">
    <w:name w:val="heading 1"/>
    <w:basedOn w:val="Normal"/>
    <w:next w:val="Normal"/>
    <w:autoRedefine/>
    <w:qFormat/>
    <w:rsid w:val="000F48D0"/>
    <w:pPr>
      <w:numPr>
        <w:numId w:val="1"/>
      </w:numPr>
      <w:tabs>
        <w:tab w:val="clear" w:pos="360"/>
        <w:tab w:val="clear" w:pos="2552"/>
        <w:tab w:val="clear" w:pos="4536"/>
        <w:tab w:val="clear" w:pos="6804"/>
        <w:tab w:val="left" w:pos="540"/>
      </w:tabs>
      <w:spacing w:before="360" w:after="240"/>
      <w:outlineLvl w:val="0"/>
    </w:pPr>
    <w:rPr>
      <w:b/>
      <w:sz w:val="24"/>
    </w:rPr>
  </w:style>
  <w:style w:type="paragraph" w:styleId="Ttulo2">
    <w:name w:val="heading 2"/>
    <w:basedOn w:val="Normal"/>
    <w:next w:val="Normal"/>
    <w:autoRedefine/>
    <w:qFormat/>
    <w:rsid w:val="009A618E"/>
    <w:pPr>
      <w:keepNext/>
      <w:numPr>
        <w:ilvl w:val="1"/>
        <w:numId w:val="1"/>
      </w:numPr>
      <w:tabs>
        <w:tab w:val="clear" w:pos="360"/>
        <w:tab w:val="clear" w:pos="2552"/>
        <w:tab w:val="clear" w:pos="4536"/>
        <w:tab w:val="clear" w:pos="6804"/>
        <w:tab w:val="left" w:pos="540"/>
      </w:tabs>
      <w:spacing w:before="320" w:after="40"/>
      <w:ind w:right="510"/>
      <w:outlineLvl w:val="1"/>
    </w:pPr>
    <w:rPr>
      <w:b/>
      <w:sz w:val="22"/>
    </w:rPr>
  </w:style>
  <w:style w:type="paragraph" w:styleId="Ttulo3">
    <w:name w:val="heading 3"/>
    <w:basedOn w:val="Normal"/>
    <w:next w:val="Normal"/>
    <w:autoRedefine/>
    <w:qFormat/>
    <w:rsid w:val="0021104D"/>
    <w:pPr>
      <w:keepNext/>
      <w:numPr>
        <w:ilvl w:val="2"/>
        <w:numId w:val="1"/>
      </w:numPr>
      <w:tabs>
        <w:tab w:val="clear" w:pos="2552"/>
        <w:tab w:val="left" w:pos="851"/>
        <w:tab w:val="left" w:pos="1418"/>
      </w:tabs>
      <w:spacing w:before="320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21104D"/>
    <w:pPr>
      <w:keepNext/>
      <w:numPr>
        <w:ilvl w:val="3"/>
        <w:numId w:val="1"/>
      </w:numPr>
      <w:spacing w:before="160"/>
      <w:outlineLvl w:val="3"/>
    </w:pPr>
  </w:style>
  <w:style w:type="paragraph" w:styleId="Ttulo5">
    <w:name w:val="heading 5"/>
    <w:basedOn w:val="Normal"/>
    <w:next w:val="Normal"/>
    <w:qFormat/>
    <w:rsid w:val="0021104D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rsid w:val="0021104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rsid w:val="0021104D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21104D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21104D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semiHidden/>
    <w:rsid w:val="00B67EBA"/>
    <w:pPr>
      <w:tabs>
        <w:tab w:val="left" w:pos="709"/>
        <w:tab w:val="right" w:leader="dot" w:pos="9639"/>
      </w:tabs>
      <w:suppressAutoHyphens/>
      <w:spacing w:before="240" w:after="120"/>
    </w:pPr>
    <w:rPr>
      <w:b/>
      <w:sz w:val="22"/>
      <w:lang w:eastAsia="ar-SA"/>
    </w:rPr>
  </w:style>
  <w:style w:type="paragraph" w:customStyle="1" w:styleId="Titel3">
    <w:name w:val="Titel 3"/>
    <w:basedOn w:val="Normal"/>
    <w:next w:val="Normal"/>
    <w:rsid w:val="0021104D"/>
    <w:pPr>
      <w:spacing w:before="120"/>
      <w:jc w:val="center"/>
    </w:pPr>
  </w:style>
  <w:style w:type="paragraph" w:styleId="Rodap">
    <w:name w:val="footer"/>
    <w:basedOn w:val="Normal"/>
    <w:rsid w:val="0021104D"/>
    <w:pPr>
      <w:tabs>
        <w:tab w:val="center" w:pos="4536"/>
        <w:tab w:val="right" w:pos="9072"/>
      </w:tabs>
    </w:pPr>
    <w:rPr>
      <w:sz w:val="16"/>
    </w:rPr>
  </w:style>
  <w:style w:type="paragraph" w:customStyle="1" w:styleId="StandardBlock">
    <w:name w:val="Standard Block"/>
    <w:basedOn w:val="Normal"/>
    <w:link w:val="StandardBlockZchn"/>
    <w:rsid w:val="007E4480"/>
    <w:pPr>
      <w:jc w:val="both"/>
    </w:pPr>
    <w:rPr>
      <w:sz w:val="22"/>
    </w:rPr>
  </w:style>
  <w:style w:type="paragraph" w:styleId="Cabealho">
    <w:name w:val="header"/>
    <w:basedOn w:val="Normal"/>
    <w:rsid w:val="0021104D"/>
    <w:pPr>
      <w:tabs>
        <w:tab w:val="center" w:pos="4536"/>
        <w:tab w:val="right" w:pos="9072"/>
      </w:tabs>
    </w:pPr>
  </w:style>
  <w:style w:type="paragraph" w:customStyle="1" w:styleId="Titel2">
    <w:name w:val="Titel 2"/>
    <w:basedOn w:val="Normal"/>
    <w:next w:val="Normal"/>
    <w:rsid w:val="0021104D"/>
    <w:pPr>
      <w:spacing w:before="120"/>
      <w:jc w:val="center"/>
    </w:pPr>
    <w:rPr>
      <w:b/>
    </w:rPr>
  </w:style>
  <w:style w:type="paragraph" w:customStyle="1" w:styleId="Mitgeltendeund">
    <w:name w:val="Mitgeltende und"/>
    <w:basedOn w:val="Normal"/>
    <w:next w:val="Normal"/>
    <w:rsid w:val="0021104D"/>
    <w:pPr>
      <w:keepNext/>
      <w:tabs>
        <w:tab w:val="clear" w:pos="2552"/>
        <w:tab w:val="clear" w:pos="4536"/>
        <w:tab w:val="clear" w:pos="6804"/>
        <w:tab w:val="left" w:pos="567"/>
      </w:tabs>
      <w:outlineLvl w:val="0"/>
    </w:pPr>
    <w:rPr>
      <w:b/>
    </w:rPr>
  </w:style>
  <w:style w:type="paragraph" w:customStyle="1" w:styleId="Mitg">
    <w:name w:val="Mitg."/>
    <w:basedOn w:val="Normal"/>
    <w:rsid w:val="0021104D"/>
  </w:style>
  <w:style w:type="table" w:styleId="Tabelacomgrade">
    <w:name w:val="Table Grid"/>
    <w:basedOn w:val="Tabelanormal"/>
    <w:rsid w:val="0021104D"/>
    <w:pPr>
      <w:tabs>
        <w:tab w:val="left" w:pos="2552"/>
        <w:tab w:val="left" w:pos="4536"/>
        <w:tab w:val="left" w:pos="6804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rsid w:val="002152A5"/>
    <w:pPr>
      <w:shd w:val="clear" w:color="auto" w:fill="000080"/>
    </w:pPr>
    <w:rPr>
      <w:rFonts w:ascii="Tahoma" w:hAnsi="Tahoma" w:cs="Tahoma"/>
    </w:rPr>
  </w:style>
  <w:style w:type="paragraph" w:customStyle="1" w:styleId="Dokumentname">
    <w:name w:val="Dokumentname"/>
    <w:basedOn w:val="Normal"/>
    <w:rsid w:val="007A5D52"/>
    <w:rPr>
      <w:b/>
      <w:sz w:val="28"/>
    </w:rPr>
  </w:style>
  <w:style w:type="character" w:customStyle="1" w:styleId="StandardBlockZchn">
    <w:name w:val="Standard Block Zchn"/>
    <w:basedOn w:val="Fontepargpadro"/>
    <w:link w:val="StandardBlock"/>
    <w:rsid w:val="00712916"/>
    <w:rPr>
      <w:rFonts w:ascii="Arial" w:hAnsi="Arial"/>
      <w:sz w:val="22"/>
    </w:rPr>
  </w:style>
  <w:style w:type="paragraph" w:styleId="Textodebalo">
    <w:name w:val="Balloon Text"/>
    <w:basedOn w:val="Normal"/>
    <w:link w:val="TextodebaloChar"/>
    <w:rsid w:val="00BF08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F0881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6F513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F5137"/>
  </w:style>
  <w:style w:type="character" w:customStyle="1" w:styleId="TextodecomentrioChar">
    <w:name w:val="Texto de comentário Char"/>
    <w:basedOn w:val="Fontepargpadro"/>
    <w:link w:val="Textodecomentrio"/>
    <w:rsid w:val="006F5137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F51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F5137"/>
    <w:rPr>
      <w:rFonts w:ascii="Arial" w:hAnsi="Arial"/>
      <w:b/>
      <w:bCs/>
    </w:rPr>
  </w:style>
  <w:style w:type="paragraph" w:styleId="Reviso">
    <w:name w:val="Revision"/>
    <w:hidden/>
    <w:uiPriority w:val="99"/>
    <w:semiHidden/>
    <w:rsid w:val="003F1B41"/>
    <w:rPr>
      <w:rFonts w:ascii="Arial" w:hAnsi="Arial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3B9AA-A83E-4900-B2FA-E79BF0FCE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1154</Words>
  <Characters>6234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Qualitätsvorausplanung</vt:lpstr>
      <vt:lpstr>Qualitätsvorausplanung</vt:lpstr>
    </vt:vector>
  </TitlesOfParts>
  <Company>Schaeffler KG</Company>
  <LinksUpToDate>false</LinksUpToDate>
  <CharactersWithSpaces>7374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Qualitätsvorausplanung</dc:title>
  <dc:subject>S 296001-2</dc:subject>
  <dc:creator>wendepte</dc:creator>
  <cp:lastModifiedBy>gonsafli</cp:lastModifiedBy>
  <cp:revision>3</cp:revision>
  <cp:lastPrinted>2015-04-22T08:18:00Z</cp:lastPrinted>
  <dcterms:created xsi:type="dcterms:W3CDTF">2015-08-19T16:05:00Z</dcterms:created>
  <dcterms:modified xsi:type="dcterms:W3CDTF">2015-08-21T13:15:00Z</dcterms:modified>
</cp:coreProperties>
</file>